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10" w:rsidRPr="00F420E1" w:rsidRDefault="00161310" w:rsidP="00207555">
      <w:pPr>
        <w:jc w:val="center"/>
        <w:rPr>
          <w:rFonts w:ascii="Times New Roman" w:hAnsi="Times New Roman" w:cs="Times New Roman"/>
          <w:sz w:val="24"/>
          <w:szCs w:val="24"/>
        </w:rPr>
      </w:pPr>
      <w:r w:rsidRPr="00F420E1">
        <w:rPr>
          <w:rFonts w:ascii="Times New Roman" w:hAnsi="Times New Roman" w:cs="Times New Roman"/>
          <w:noProof/>
          <w:sz w:val="24"/>
          <w:szCs w:val="24"/>
          <w:lang w:eastAsia="sq-AL"/>
        </w:rPr>
        <w:drawing>
          <wp:inline distT="0" distB="0" distL="0" distR="0" wp14:anchorId="07638E0D" wp14:editId="114D3C80">
            <wp:extent cx="835025" cy="9144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10" w:rsidRPr="00F420E1" w:rsidRDefault="00161310" w:rsidP="00207555">
      <w:pPr>
        <w:pStyle w:val="Default"/>
        <w:jc w:val="center"/>
      </w:pPr>
    </w:p>
    <w:p w:rsidR="00161310" w:rsidRPr="00C55940" w:rsidRDefault="00161310" w:rsidP="00207555">
      <w:pPr>
        <w:pStyle w:val="Default"/>
        <w:jc w:val="center"/>
        <w:rPr>
          <w:color w:val="auto"/>
        </w:rPr>
      </w:pPr>
      <w:r w:rsidRPr="00C55940">
        <w:rPr>
          <w:b/>
          <w:bCs/>
          <w:color w:val="auto"/>
        </w:rPr>
        <w:t>Republika e Kosovës</w:t>
      </w:r>
    </w:p>
    <w:p w:rsidR="00161310" w:rsidRPr="00C55940" w:rsidRDefault="00161310" w:rsidP="00207555">
      <w:pPr>
        <w:pStyle w:val="Default"/>
        <w:jc w:val="center"/>
        <w:rPr>
          <w:color w:val="auto"/>
        </w:rPr>
      </w:pPr>
      <w:r w:rsidRPr="00C55940">
        <w:rPr>
          <w:b/>
          <w:bCs/>
          <w:color w:val="auto"/>
        </w:rPr>
        <w:t xml:space="preserve">Republika Kosova - </w:t>
      </w:r>
      <w:proofErr w:type="spellStart"/>
      <w:r w:rsidRPr="00C55940">
        <w:rPr>
          <w:b/>
          <w:bCs/>
          <w:color w:val="auto"/>
        </w:rPr>
        <w:t>Republic</w:t>
      </w:r>
      <w:proofErr w:type="spellEnd"/>
      <w:r w:rsidRPr="00C55940">
        <w:rPr>
          <w:b/>
          <w:bCs/>
          <w:color w:val="auto"/>
        </w:rPr>
        <w:t xml:space="preserve"> </w:t>
      </w:r>
      <w:proofErr w:type="spellStart"/>
      <w:r w:rsidRPr="00C55940">
        <w:rPr>
          <w:b/>
          <w:bCs/>
          <w:color w:val="auto"/>
        </w:rPr>
        <w:t>of</w:t>
      </w:r>
      <w:proofErr w:type="spellEnd"/>
      <w:r w:rsidRPr="00C55940">
        <w:rPr>
          <w:b/>
          <w:bCs/>
          <w:color w:val="auto"/>
        </w:rPr>
        <w:t xml:space="preserve"> </w:t>
      </w:r>
      <w:proofErr w:type="spellStart"/>
      <w:r w:rsidRPr="00C55940">
        <w:rPr>
          <w:b/>
          <w:bCs/>
          <w:color w:val="auto"/>
        </w:rPr>
        <w:t>Kosovo</w:t>
      </w:r>
      <w:proofErr w:type="spellEnd"/>
    </w:p>
    <w:p w:rsidR="00161310" w:rsidRPr="00C55940" w:rsidRDefault="00161310" w:rsidP="00207555">
      <w:pPr>
        <w:pStyle w:val="Default"/>
        <w:jc w:val="center"/>
        <w:rPr>
          <w:color w:val="auto"/>
        </w:rPr>
      </w:pPr>
      <w:r w:rsidRPr="00C55940">
        <w:rPr>
          <w:b/>
          <w:bCs/>
          <w:iCs/>
          <w:color w:val="auto"/>
        </w:rPr>
        <w:t xml:space="preserve">Qeveria - </w:t>
      </w:r>
      <w:proofErr w:type="spellStart"/>
      <w:r w:rsidRPr="00C55940">
        <w:rPr>
          <w:b/>
          <w:bCs/>
          <w:iCs/>
          <w:color w:val="auto"/>
        </w:rPr>
        <w:t>Vlada</w:t>
      </w:r>
      <w:proofErr w:type="spellEnd"/>
      <w:r w:rsidRPr="00C55940">
        <w:rPr>
          <w:b/>
          <w:bCs/>
          <w:iCs/>
          <w:color w:val="auto"/>
        </w:rPr>
        <w:t xml:space="preserve"> – </w:t>
      </w:r>
      <w:proofErr w:type="spellStart"/>
      <w:r w:rsidRPr="00C55940">
        <w:rPr>
          <w:b/>
          <w:bCs/>
          <w:iCs/>
          <w:color w:val="auto"/>
        </w:rPr>
        <w:t>Government</w:t>
      </w:r>
      <w:proofErr w:type="spellEnd"/>
    </w:p>
    <w:p w:rsidR="00161310" w:rsidRPr="00C55940" w:rsidRDefault="00161310" w:rsidP="00207555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940">
        <w:rPr>
          <w:rFonts w:ascii="Times New Roman" w:hAnsi="Times New Roman" w:cs="Times New Roman"/>
          <w:b/>
          <w:bCs/>
          <w:iCs/>
          <w:sz w:val="24"/>
          <w:szCs w:val="24"/>
        </w:rPr>
        <w:t>Ministria e Financave/</w:t>
      </w:r>
      <w:proofErr w:type="spellStart"/>
      <w:r w:rsidRPr="00C55940">
        <w:rPr>
          <w:rFonts w:ascii="Times New Roman" w:hAnsi="Times New Roman" w:cs="Times New Roman"/>
          <w:b/>
          <w:bCs/>
          <w:iCs/>
          <w:sz w:val="24"/>
          <w:szCs w:val="24"/>
        </w:rPr>
        <w:t>Ministarstv</w:t>
      </w:r>
      <w:proofErr w:type="spellEnd"/>
      <w:r w:rsidRPr="00C559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C55940">
        <w:rPr>
          <w:rFonts w:ascii="Times New Roman" w:hAnsi="Times New Roman" w:cs="Times New Roman"/>
          <w:b/>
          <w:bCs/>
          <w:iCs/>
          <w:sz w:val="24"/>
          <w:szCs w:val="24"/>
        </w:rPr>
        <w:t>za</w:t>
      </w:r>
      <w:proofErr w:type="spellEnd"/>
      <w:r w:rsidRPr="00C559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C55940">
        <w:rPr>
          <w:rFonts w:ascii="Times New Roman" w:hAnsi="Times New Roman" w:cs="Times New Roman"/>
          <w:b/>
          <w:bCs/>
          <w:iCs/>
          <w:sz w:val="24"/>
          <w:szCs w:val="24"/>
        </w:rPr>
        <w:t>Finansije</w:t>
      </w:r>
      <w:proofErr w:type="spellEnd"/>
      <w:r w:rsidRPr="00C559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/ </w:t>
      </w:r>
      <w:proofErr w:type="spellStart"/>
      <w:r w:rsidRPr="00C55940">
        <w:rPr>
          <w:rFonts w:ascii="Times New Roman" w:hAnsi="Times New Roman" w:cs="Times New Roman"/>
          <w:b/>
          <w:bCs/>
          <w:iCs/>
          <w:sz w:val="24"/>
          <w:szCs w:val="24"/>
        </w:rPr>
        <w:t>Ministry</w:t>
      </w:r>
      <w:proofErr w:type="spellEnd"/>
      <w:r w:rsidRPr="00C559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of Finance</w:t>
      </w:r>
    </w:p>
    <w:p w:rsidR="00161310" w:rsidRPr="00C55940" w:rsidRDefault="00161310" w:rsidP="002075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310" w:rsidRPr="00C55940" w:rsidRDefault="00161310" w:rsidP="002075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310" w:rsidRPr="00C55940" w:rsidRDefault="00161310" w:rsidP="002075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1310" w:rsidRPr="00C55940" w:rsidRDefault="00161310" w:rsidP="00207555">
      <w:pPr>
        <w:pStyle w:val="Default"/>
        <w:jc w:val="center"/>
        <w:rPr>
          <w:color w:val="auto"/>
        </w:rPr>
      </w:pPr>
    </w:p>
    <w:p w:rsidR="001B4778" w:rsidRPr="00C55940" w:rsidRDefault="00161310" w:rsidP="00207555">
      <w:pPr>
        <w:pStyle w:val="Default"/>
        <w:jc w:val="center"/>
        <w:rPr>
          <w:b/>
          <w:bCs/>
          <w:color w:val="auto"/>
          <w:sz w:val="32"/>
        </w:rPr>
      </w:pPr>
      <w:r w:rsidRPr="00C55940">
        <w:rPr>
          <w:b/>
          <w:bCs/>
          <w:color w:val="auto"/>
          <w:sz w:val="32"/>
        </w:rPr>
        <w:t xml:space="preserve">DRAFT KONCEPT DOKUMENTI PËR TRAJTIMIN E </w:t>
      </w:r>
      <w:r w:rsidR="00B22C4A" w:rsidRPr="00C55940">
        <w:rPr>
          <w:b/>
          <w:bCs/>
          <w:color w:val="auto"/>
          <w:sz w:val="32"/>
        </w:rPr>
        <w:t>KUADRIT LIGJOR</w:t>
      </w:r>
    </w:p>
    <w:p w:rsidR="00676322" w:rsidRPr="00C55940" w:rsidRDefault="001B4778" w:rsidP="00207555">
      <w:pPr>
        <w:pStyle w:val="Default"/>
        <w:jc w:val="center"/>
        <w:rPr>
          <w:b/>
          <w:bCs/>
          <w:color w:val="auto"/>
          <w:sz w:val="32"/>
        </w:rPr>
      </w:pPr>
      <w:r w:rsidRPr="00C55940">
        <w:rPr>
          <w:b/>
          <w:bCs/>
          <w:color w:val="auto"/>
          <w:sz w:val="32"/>
        </w:rPr>
        <w:t>T</w:t>
      </w:r>
      <w:r w:rsidR="008D672D" w:rsidRPr="00C55940">
        <w:rPr>
          <w:b/>
          <w:bCs/>
          <w:color w:val="auto"/>
          <w:sz w:val="32"/>
        </w:rPr>
        <w:t>Ë</w:t>
      </w:r>
      <w:r w:rsidR="00B22C4A" w:rsidRPr="00C55940">
        <w:rPr>
          <w:b/>
          <w:bCs/>
          <w:color w:val="auto"/>
          <w:sz w:val="32"/>
        </w:rPr>
        <w:t xml:space="preserve"> TATIMEVE </w:t>
      </w:r>
      <w:r w:rsidRPr="00C55940">
        <w:rPr>
          <w:b/>
          <w:bCs/>
          <w:color w:val="auto"/>
          <w:sz w:val="32"/>
        </w:rPr>
        <w:t>DHE PROCEDURAVE N</w:t>
      </w:r>
      <w:r w:rsidR="008D672D" w:rsidRPr="00C55940">
        <w:rPr>
          <w:b/>
          <w:bCs/>
          <w:color w:val="auto"/>
          <w:sz w:val="32"/>
        </w:rPr>
        <w:t>Ë</w:t>
      </w:r>
      <w:r w:rsidRPr="00C55940">
        <w:rPr>
          <w:b/>
          <w:bCs/>
          <w:color w:val="auto"/>
          <w:sz w:val="32"/>
        </w:rPr>
        <w:t xml:space="preserve"> </w:t>
      </w:r>
      <w:r w:rsidR="008D672D" w:rsidRPr="00C55940">
        <w:rPr>
          <w:b/>
          <w:bCs/>
          <w:color w:val="auto"/>
          <w:sz w:val="32"/>
        </w:rPr>
        <w:t>FUSHË</w:t>
      </w:r>
      <w:r w:rsidRPr="00C55940">
        <w:rPr>
          <w:b/>
          <w:bCs/>
          <w:color w:val="auto"/>
          <w:sz w:val="32"/>
        </w:rPr>
        <w:t xml:space="preserve">VEPRIMIN E  </w:t>
      </w:r>
      <w:r w:rsidR="00837DA2">
        <w:rPr>
          <w:b/>
          <w:bCs/>
          <w:color w:val="auto"/>
          <w:sz w:val="32"/>
        </w:rPr>
        <w:t>ADMINISTRATËS TATIMORE TË KOSOVËS (</w:t>
      </w:r>
      <w:r w:rsidRPr="00C55940">
        <w:rPr>
          <w:b/>
          <w:bCs/>
          <w:color w:val="auto"/>
          <w:sz w:val="32"/>
        </w:rPr>
        <w:t>ATK</w:t>
      </w:r>
      <w:r w:rsidR="00837DA2">
        <w:rPr>
          <w:b/>
          <w:bCs/>
          <w:color w:val="auto"/>
          <w:sz w:val="32"/>
        </w:rPr>
        <w:t>)</w:t>
      </w:r>
    </w:p>
    <w:p w:rsidR="00161310" w:rsidRPr="00F420E1" w:rsidRDefault="00161310" w:rsidP="008D672D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161310" w:rsidRPr="00F420E1" w:rsidRDefault="00161310" w:rsidP="008D672D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161310" w:rsidRPr="00F420E1" w:rsidRDefault="00161310" w:rsidP="008D672D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161310" w:rsidRPr="00F420E1" w:rsidRDefault="00161310" w:rsidP="008D672D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161310" w:rsidRPr="00F420E1" w:rsidRDefault="00161310" w:rsidP="008D672D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161310" w:rsidRPr="00F420E1" w:rsidRDefault="00161310" w:rsidP="008D672D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161310" w:rsidRPr="00F420E1" w:rsidRDefault="00161310" w:rsidP="008D672D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161310" w:rsidRPr="00F420E1" w:rsidRDefault="00161310" w:rsidP="008D672D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161310" w:rsidRPr="00F420E1" w:rsidRDefault="00161310" w:rsidP="008D672D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962A76" w:rsidRPr="00F420E1" w:rsidRDefault="00962A76" w:rsidP="008D672D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962A76" w:rsidRPr="00F420E1" w:rsidRDefault="00962A76" w:rsidP="008D672D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AD00B7" w:rsidRDefault="00AD00B7">
      <w:pPr>
        <w:rPr>
          <w:color w:val="002060"/>
        </w:rPr>
      </w:pPr>
    </w:p>
    <w:p w:rsidR="00AD00B7" w:rsidRDefault="00AD00B7">
      <w:pPr>
        <w:rPr>
          <w:color w:val="002060"/>
        </w:rPr>
      </w:pPr>
    </w:p>
    <w:p w:rsidR="00AD00B7" w:rsidRDefault="00AD00B7">
      <w:pPr>
        <w:rPr>
          <w:color w:val="002060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sq-AL"/>
        </w:rPr>
        <w:id w:val="174976817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D00B7" w:rsidRPr="00AD00B7" w:rsidRDefault="00AD00B7">
          <w:pPr>
            <w:pStyle w:val="TOCHeading"/>
            <w:rPr>
              <w:rFonts w:ascii="Times New Roman" w:hAnsi="Times New Roman" w:cs="Times New Roman"/>
              <w:b/>
              <w:color w:val="auto"/>
              <w:sz w:val="28"/>
            </w:rPr>
          </w:pPr>
          <w:r w:rsidRPr="00AD00B7">
            <w:rPr>
              <w:rFonts w:ascii="Times New Roman" w:hAnsi="Times New Roman" w:cs="Times New Roman"/>
              <w:b/>
              <w:color w:val="auto"/>
              <w:sz w:val="28"/>
              <w:lang w:val="sq-AL"/>
            </w:rPr>
            <w:t>Përmbajtje</w:t>
          </w:r>
        </w:p>
        <w:p w:rsidR="00767219" w:rsidRPr="00767219" w:rsidRDefault="00AD00B7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sq-AL"/>
            </w:rPr>
          </w:pPr>
          <w:r w:rsidRPr="00767219">
            <w:fldChar w:fldCharType="begin"/>
          </w:r>
          <w:r w:rsidRPr="00767219">
            <w:instrText xml:space="preserve"> TOC \o "1-3" \h \z \u </w:instrText>
          </w:r>
          <w:r w:rsidRPr="00767219">
            <w:fldChar w:fldCharType="separate"/>
          </w:r>
          <w:hyperlink w:anchor="_Toc504390422" w:history="1">
            <w:r w:rsidR="00767219" w:rsidRPr="00767219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767219" w:rsidRPr="00767219">
              <w:rPr>
                <w:rFonts w:eastAsiaTheme="minorEastAsia"/>
                <w:noProof/>
                <w:lang w:eastAsia="sq-AL"/>
              </w:rPr>
              <w:tab/>
            </w:r>
            <w:r w:rsidR="00767219" w:rsidRPr="00767219">
              <w:rPr>
                <w:rStyle w:val="Hyperlink"/>
                <w:rFonts w:ascii="Times New Roman" w:hAnsi="Times New Roman" w:cs="Times New Roman"/>
                <w:noProof/>
              </w:rPr>
              <w:t>Hyrje</w:t>
            </w:r>
            <w:r w:rsidR="00767219" w:rsidRPr="00767219">
              <w:rPr>
                <w:noProof/>
                <w:webHidden/>
              </w:rPr>
              <w:tab/>
            </w:r>
            <w:r w:rsidR="00767219" w:rsidRPr="00767219">
              <w:rPr>
                <w:noProof/>
                <w:webHidden/>
              </w:rPr>
              <w:fldChar w:fldCharType="begin"/>
            </w:r>
            <w:r w:rsidR="00767219" w:rsidRPr="00767219">
              <w:rPr>
                <w:noProof/>
                <w:webHidden/>
              </w:rPr>
              <w:instrText xml:space="preserve"> PAGEREF _Toc504390422 \h </w:instrText>
            </w:r>
            <w:r w:rsidR="00767219" w:rsidRPr="00767219">
              <w:rPr>
                <w:noProof/>
                <w:webHidden/>
              </w:rPr>
            </w:r>
            <w:r w:rsidR="00767219" w:rsidRPr="00767219">
              <w:rPr>
                <w:noProof/>
                <w:webHidden/>
              </w:rPr>
              <w:fldChar w:fldCharType="separate"/>
            </w:r>
            <w:r w:rsidR="00B042F1">
              <w:rPr>
                <w:noProof/>
                <w:webHidden/>
              </w:rPr>
              <w:t>3</w:t>
            </w:r>
            <w:r w:rsidR="00767219" w:rsidRPr="00767219">
              <w:rPr>
                <w:noProof/>
                <w:webHidden/>
              </w:rPr>
              <w:fldChar w:fldCharType="end"/>
            </w:r>
          </w:hyperlink>
        </w:p>
        <w:p w:rsidR="00767219" w:rsidRPr="00767219" w:rsidRDefault="00F6072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sq-AL"/>
            </w:rPr>
          </w:pPr>
          <w:hyperlink w:anchor="_Toc504390423" w:history="1">
            <w:r w:rsidR="00767219" w:rsidRPr="00767219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 w:rsidR="00767219" w:rsidRPr="00767219">
              <w:rPr>
                <w:rFonts w:eastAsiaTheme="minorEastAsia"/>
                <w:noProof/>
                <w:lang w:eastAsia="sq-AL"/>
              </w:rPr>
              <w:tab/>
            </w:r>
            <w:r w:rsidR="00767219" w:rsidRPr="00767219">
              <w:rPr>
                <w:rStyle w:val="Hyperlink"/>
                <w:rFonts w:ascii="Times New Roman" w:hAnsi="Times New Roman" w:cs="Times New Roman"/>
                <w:noProof/>
              </w:rPr>
              <w:t>Çështjet kryesore të marra në konsiderim</w:t>
            </w:r>
            <w:r w:rsidR="00767219" w:rsidRPr="00767219">
              <w:rPr>
                <w:noProof/>
                <w:webHidden/>
              </w:rPr>
              <w:tab/>
            </w:r>
            <w:r w:rsidR="00767219" w:rsidRPr="00767219">
              <w:rPr>
                <w:noProof/>
                <w:webHidden/>
              </w:rPr>
              <w:fldChar w:fldCharType="begin"/>
            </w:r>
            <w:r w:rsidR="00767219" w:rsidRPr="00767219">
              <w:rPr>
                <w:noProof/>
                <w:webHidden/>
              </w:rPr>
              <w:instrText xml:space="preserve"> PAGEREF _Toc504390423 \h </w:instrText>
            </w:r>
            <w:r w:rsidR="00767219" w:rsidRPr="00767219">
              <w:rPr>
                <w:noProof/>
                <w:webHidden/>
              </w:rPr>
            </w:r>
            <w:r w:rsidR="00767219" w:rsidRPr="00767219">
              <w:rPr>
                <w:noProof/>
                <w:webHidden/>
              </w:rPr>
              <w:fldChar w:fldCharType="separate"/>
            </w:r>
            <w:r w:rsidR="00B042F1">
              <w:rPr>
                <w:noProof/>
                <w:webHidden/>
              </w:rPr>
              <w:t>4</w:t>
            </w:r>
            <w:r w:rsidR="00767219" w:rsidRPr="00767219">
              <w:rPr>
                <w:noProof/>
                <w:webHidden/>
              </w:rPr>
              <w:fldChar w:fldCharType="end"/>
            </w:r>
          </w:hyperlink>
        </w:p>
        <w:p w:rsidR="00767219" w:rsidRPr="00767219" w:rsidRDefault="00F6072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sq-AL"/>
            </w:rPr>
          </w:pPr>
          <w:hyperlink w:anchor="_Toc504390424" w:history="1">
            <w:r w:rsidR="00767219" w:rsidRPr="00767219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767219" w:rsidRPr="00767219">
              <w:rPr>
                <w:rFonts w:eastAsiaTheme="minorEastAsia"/>
                <w:noProof/>
                <w:lang w:eastAsia="sq-AL"/>
              </w:rPr>
              <w:tab/>
            </w:r>
            <w:r w:rsidR="00767219" w:rsidRPr="00767219">
              <w:rPr>
                <w:rStyle w:val="Hyperlink"/>
                <w:rFonts w:ascii="Times New Roman" w:hAnsi="Times New Roman" w:cs="Times New Roman"/>
                <w:noProof/>
              </w:rPr>
              <w:t>Synimet dhe Objektivat</w:t>
            </w:r>
            <w:r w:rsidR="00767219" w:rsidRPr="00767219">
              <w:rPr>
                <w:noProof/>
                <w:webHidden/>
              </w:rPr>
              <w:tab/>
            </w:r>
            <w:r w:rsidR="00767219" w:rsidRPr="00767219">
              <w:rPr>
                <w:noProof/>
                <w:webHidden/>
              </w:rPr>
              <w:fldChar w:fldCharType="begin"/>
            </w:r>
            <w:r w:rsidR="00767219" w:rsidRPr="00767219">
              <w:rPr>
                <w:noProof/>
                <w:webHidden/>
              </w:rPr>
              <w:instrText xml:space="preserve"> PAGEREF _Toc504390424 \h </w:instrText>
            </w:r>
            <w:r w:rsidR="00767219" w:rsidRPr="00767219">
              <w:rPr>
                <w:noProof/>
                <w:webHidden/>
              </w:rPr>
            </w:r>
            <w:r w:rsidR="00767219" w:rsidRPr="00767219">
              <w:rPr>
                <w:noProof/>
                <w:webHidden/>
              </w:rPr>
              <w:fldChar w:fldCharType="separate"/>
            </w:r>
            <w:r w:rsidR="00B042F1">
              <w:rPr>
                <w:noProof/>
                <w:webHidden/>
              </w:rPr>
              <w:t>4</w:t>
            </w:r>
            <w:r w:rsidR="00767219" w:rsidRPr="00767219">
              <w:rPr>
                <w:noProof/>
                <w:webHidden/>
              </w:rPr>
              <w:fldChar w:fldCharType="end"/>
            </w:r>
          </w:hyperlink>
        </w:p>
        <w:p w:rsidR="00767219" w:rsidRPr="00767219" w:rsidRDefault="00F6072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sq-AL"/>
            </w:rPr>
          </w:pPr>
          <w:hyperlink w:anchor="_Toc504390425" w:history="1">
            <w:r w:rsidR="00767219" w:rsidRPr="00767219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767219" w:rsidRPr="00767219">
              <w:rPr>
                <w:rFonts w:eastAsiaTheme="minorEastAsia"/>
                <w:noProof/>
                <w:lang w:eastAsia="sq-AL"/>
              </w:rPr>
              <w:tab/>
            </w:r>
            <w:r w:rsidR="00767219" w:rsidRPr="00767219">
              <w:rPr>
                <w:rStyle w:val="Hyperlink"/>
                <w:rFonts w:ascii="Times New Roman" w:hAnsi="Times New Roman" w:cs="Times New Roman"/>
                <w:noProof/>
              </w:rPr>
              <w:t>Opsioni i rekomanduar</w:t>
            </w:r>
            <w:r w:rsidR="00767219" w:rsidRPr="00767219">
              <w:rPr>
                <w:noProof/>
                <w:webHidden/>
              </w:rPr>
              <w:tab/>
            </w:r>
            <w:r w:rsidR="00767219" w:rsidRPr="00767219">
              <w:rPr>
                <w:noProof/>
                <w:webHidden/>
              </w:rPr>
              <w:fldChar w:fldCharType="begin"/>
            </w:r>
            <w:r w:rsidR="00767219" w:rsidRPr="00767219">
              <w:rPr>
                <w:noProof/>
                <w:webHidden/>
              </w:rPr>
              <w:instrText xml:space="preserve"> PAGEREF _Toc504390425 \h </w:instrText>
            </w:r>
            <w:r w:rsidR="00767219" w:rsidRPr="00767219">
              <w:rPr>
                <w:noProof/>
                <w:webHidden/>
              </w:rPr>
            </w:r>
            <w:r w:rsidR="00767219" w:rsidRPr="00767219">
              <w:rPr>
                <w:noProof/>
                <w:webHidden/>
              </w:rPr>
              <w:fldChar w:fldCharType="separate"/>
            </w:r>
            <w:r w:rsidR="00B042F1">
              <w:rPr>
                <w:noProof/>
                <w:webHidden/>
              </w:rPr>
              <w:t>5</w:t>
            </w:r>
            <w:r w:rsidR="00767219" w:rsidRPr="00767219">
              <w:rPr>
                <w:noProof/>
                <w:webHidden/>
              </w:rPr>
              <w:fldChar w:fldCharType="end"/>
            </w:r>
          </w:hyperlink>
        </w:p>
        <w:p w:rsidR="00767219" w:rsidRPr="00767219" w:rsidRDefault="00F6072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sq-AL"/>
            </w:rPr>
          </w:pPr>
          <w:hyperlink w:anchor="_Toc504390426" w:history="1">
            <w:r w:rsidR="00767219" w:rsidRPr="00767219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="00767219" w:rsidRPr="00767219">
              <w:rPr>
                <w:rFonts w:eastAsiaTheme="minorEastAsia"/>
                <w:noProof/>
                <w:lang w:eastAsia="sq-AL"/>
              </w:rPr>
              <w:tab/>
            </w:r>
            <w:r w:rsidR="00767219" w:rsidRPr="00767219">
              <w:rPr>
                <w:rStyle w:val="Hyperlink"/>
                <w:rFonts w:ascii="Times New Roman" w:hAnsi="Times New Roman" w:cs="Times New Roman"/>
                <w:noProof/>
              </w:rPr>
              <w:t>Arsyetimi i propozimit</w:t>
            </w:r>
            <w:r w:rsidR="00767219" w:rsidRPr="00767219">
              <w:rPr>
                <w:noProof/>
                <w:webHidden/>
              </w:rPr>
              <w:tab/>
            </w:r>
            <w:r w:rsidR="00767219" w:rsidRPr="00767219">
              <w:rPr>
                <w:noProof/>
                <w:webHidden/>
              </w:rPr>
              <w:fldChar w:fldCharType="begin"/>
            </w:r>
            <w:r w:rsidR="00767219" w:rsidRPr="00767219">
              <w:rPr>
                <w:noProof/>
                <w:webHidden/>
              </w:rPr>
              <w:instrText xml:space="preserve"> PAGEREF _Toc504390426 \h </w:instrText>
            </w:r>
            <w:r w:rsidR="00767219" w:rsidRPr="00767219">
              <w:rPr>
                <w:noProof/>
                <w:webHidden/>
              </w:rPr>
            </w:r>
            <w:r w:rsidR="00767219" w:rsidRPr="00767219">
              <w:rPr>
                <w:noProof/>
                <w:webHidden/>
              </w:rPr>
              <w:fldChar w:fldCharType="separate"/>
            </w:r>
            <w:r w:rsidR="00B042F1">
              <w:rPr>
                <w:noProof/>
                <w:webHidden/>
              </w:rPr>
              <w:t>6</w:t>
            </w:r>
            <w:r w:rsidR="00767219" w:rsidRPr="00767219">
              <w:rPr>
                <w:noProof/>
                <w:webHidden/>
              </w:rPr>
              <w:fldChar w:fldCharType="end"/>
            </w:r>
          </w:hyperlink>
        </w:p>
        <w:p w:rsidR="00767219" w:rsidRPr="00767219" w:rsidRDefault="00F6072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sq-AL"/>
            </w:rPr>
          </w:pPr>
          <w:hyperlink w:anchor="_Toc504390427" w:history="1">
            <w:r w:rsidR="00767219" w:rsidRPr="00767219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 w:rsidR="00767219" w:rsidRPr="00767219">
              <w:rPr>
                <w:rFonts w:eastAsiaTheme="minorEastAsia"/>
                <w:noProof/>
                <w:lang w:eastAsia="sq-AL"/>
              </w:rPr>
              <w:tab/>
            </w:r>
            <w:r w:rsidR="00767219" w:rsidRPr="00767219">
              <w:rPr>
                <w:rStyle w:val="Hyperlink"/>
                <w:rFonts w:ascii="Times New Roman" w:hAnsi="Times New Roman" w:cs="Times New Roman"/>
                <w:noProof/>
              </w:rPr>
              <w:t>Elementet kryesore të politikës së propozuar</w:t>
            </w:r>
            <w:r w:rsidR="00767219" w:rsidRPr="00767219">
              <w:rPr>
                <w:noProof/>
                <w:webHidden/>
              </w:rPr>
              <w:tab/>
            </w:r>
            <w:r w:rsidR="00767219" w:rsidRPr="00767219">
              <w:rPr>
                <w:noProof/>
                <w:webHidden/>
              </w:rPr>
              <w:fldChar w:fldCharType="begin"/>
            </w:r>
            <w:r w:rsidR="00767219" w:rsidRPr="00767219">
              <w:rPr>
                <w:noProof/>
                <w:webHidden/>
              </w:rPr>
              <w:instrText xml:space="preserve"> PAGEREF _Toc504390427 \h </w:instrText>
            </w:r>
            <w:r w:rsidR="00767219" w:rsidRPr="00767219">
              <w:rPr>
                <w:noProof/>
                <w:webHidden/>
              </w:rPr>
            </w:r>
            <w:r w:rsidR="00767219" w:rsidRPr="00767219">
              <w:rPr>
                <w:noProof/>
                <w:webHidden/>
              </w:rPr>
              <w:fldChar w:fldCharType="separate"/>
            </w:r>
            <w:r w:rsidR="00B042F1">
              <w:rPr>
                <w:noProof/>
                <w:webHidden/>
              </w:rPr>
              <w:t>7</w:t>
            </w:r>
            <w:r w:rsidR="00767219" w:rsidRPr="00767219">
              <w:rPr>
                <w:noProof/>
                <w:webHidden/>
              </w:rPr>
              <w:fldChar w:fldCharType="end"/>
            </w:r>
          </w:hyperlink>
        </w:p>
        <w:p w:rsidR="00767219" w:rsidRPr="00767219" w:rsidRDefault="00767219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sq-AL"/>
            </w:rPr>
          </w:pPr>
          <w:r>
            <w:rPr>
              <w:rStyle w:val="Hyperlink"/>
              <w:noProof/>
              <w:u w:val="none"/>
            </w:rPr>
            <w:t xml:space="preserve">     </w:t>
          </w:r>
          <w:hyperlink w:anchor="_Toc504390428" w:history="1">
            <w:r w:rsidRPr="00767219">
              <w:rPr>
                <w:rStyle w:val="Hyperlink"/>
                <w:rFonts w:ascii="Times New Roman" w:hAnsi="Times New Roman" w:cs="Times New Roman"/>
                <w:noProof/>
              </w:rPr>
              <w:t>Ligji për Administratën Tatimore dhe Procedurat:</w:t>
            </w:r>
            <w:r w:rsidRPr="00767219">
              <w:rPr>
                <w:noProof/>
                <w:webHidden/>
              </w:rPr>
              <w:tab/>
            </w:r>
            <w:r w:rsidRPr="00767219">
              <w:rPr>
                <w:noProof/>
                <w:webHidden/>
              </w:rPr>
              <w:fldChar w:fldCharType="begin"/>
            </w:r>
            <w:r w:rsidRPr="00767219">
              <w:rPr>
                <w:noProof/>
                <w:webHidden/>
              </w:rPr>
              <w:instrText xml:space="preserve"> PAGEREF _Toc504390428 \h </w:instrText>
            </w:r>
            <w:r w:rsidRPr="00767219">
              <w:rPr>
                <w:noProof/>
                <w:webHidden/>
              </w:rPr>
            </w:r>
            <w:r w:rsidRPr="00767219">
              <w:rPr>
                <w:noProof/>
                <w:webHidden/>
              </w:rPr>
              <w:fldChar w:fldCharType="separate"/>
            </w:r>
            <w:r w:rsidR="00B042F1">
              <w:rPr>
                <w:noProof/>
                <w:webHidden/>
              </w:rPr>
              <w:t>7</w:t>
            </w:r>
            <w:r w:rsidRPr="00767219">
              <w:rPr>
                <w:noProof/>
                <w:webHidden/>
              </w:rPr>
              <w:fldChar w:fldCharType="end"/>
            </w:r>
          </w:hyperlink>
        </w:p>
        <w:p w:rsidR="00767219" w:rsidRPr="00767219" w:rsidRDefault="00767219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sq-AL"/>
            </w:rPr>
          </w:pPr>
          <w:r>
            <w:rPr>
              <w:rStyle w:val="Hyperlink"/>
              <w:noProof/>
              <w:u w:val="none"/>
            </w:rPr>
            <w:t xml:space="preserve">     </w:t>
          </w:r>
          <w:hyperlink w:anchor="_Toc504390429" w:history="1">
            <w:r w:rsidRPr="00767219">
              <w:rPr>
                <w:rStyle w:val="Hyperlink"/>
                <w:rFonts w:ascii="Times New Roman" w:hAnsi="Times New Roman" w:cs="Times New Roman"/>
                <w:noProof/>
              </w:rPr>
              <w:t>Ligji për Tatimin mbi Vlerën e Shtuar:</w:t>
            </w:r>
            <w:r w:rsidRPr="00767219">
              <w:rPr>
                <w:noProof/>
                <w:webHidden/>
              </w:rPr>
              <w:tab/>
            </w:r>
            <w:r w:rsidRPr="00767219">
              <w:rPr>
                <w:noProof/>
                <w:webHidden/>
              </w:rPr>
              <w:fldChar w:fldCharType="begin"/>
            </w:r>
            <w:r w:rsidRPr="00767219">
              <w:rPr>
                <w:noProof/>
                <w:webHidden/>
              </w:rPr>
              <w:instrText xml:space="preserve"> PAGEREF _Toc504390429 \h </w:instrText>
            </w:r>
            <w:r w:rsidRPr="00767219">
              <w:rPr>
                <w:noProof/>
                <w:webHidden/>
              </w:rPr>
            </w:r>
            <w:r w:rsidRPr="00767219">
              <w:rPr>
                <w:noProof/>
                <w:webHidden/>
              </w:rPr>
              <w:fldChar w:fldCharType="separate"/>
            </w:r>
            <w:r w:rsidR="00B042F1">
              <w:rPr>
                <w:noProof/>
                <w:webHidden/>
              </w:rPr>
              <w:t>12</w:t>
            </w:r>
            <w:r w:rsidRPr="00767219">
              <w:rPr>
                <w:noProof/>
                <w:webHidden/>
              </w:rPr>
              <w:fldChar w:fldCharType="end"/>
            </w:r>
          </w:hyperlink>
        </w:p>
        <w:p w:rsidR="00767219" w:rsidRPr="00767219" w:rsidRDefault="00767219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sq-AL"/>
            </w:rPr>
          </w:pPr>
          <w:r>
            <w:rPr>
              <w:rStyle w:val="Hyperlink"/>
              <w:noProof/>
              <w:u w:val="none"/>
            </w:rPr>
            <w:t xml:space="preserve">    </w:t>
          </w:r>
          <w:hyperlink w:anchor="_Toc504390430" w:history="1">
            <w:r w:rsidRPr="00767219">
              <w:rPr>
                <w:rStyle w:val="Hyperlink"/>
                <w:rFonts w:ascii="Times New Roman" w:hAnsi="Times New Roman" w:cs="Times New Roman"/>
                <w:noProof/>
              </w:rPr>
              <w:t>Ligji për Tatimin në të Ardhura Personale:</w:t>
            </w:r>
            <w:r w:rsidRPr="00767219">
              <w:rPr>
                <w:noProof/>
                <w:webHidden/>
              </w:rPr>
              <w:tab/>
            </w:r>
            <w:r w:rsidRPr="00767219">
              <w:rPr>
                <w:noProof/>
                <w:webHidden/>
              </w:rPr>
              <w:fldChar w:fldCharType="begin"/>
            </w:r>
            <w:r w:rsidRPr="00767219">
              <w:rPr>
                <w:noProof/>
                <w:webHidden/>
              </w:rPr>
              <w:instrText xml:space="preserve"> PAGEREF _Toc504390430 \h </w:instrText>
            </w:r>
            <w:r w:rsidRPr="00767219">
              <w:rPr>
                <w:noProof/>
                <w:webHidden/>
              </w:rPr>
            </w:r>
            <w:r w:rsidRPr="00767219">
              <w:rPr>
                <w:noProof/>
                <w:webHidden/>
              </w:rPr>
              <w:fldChar w:fldCharType="separate"/>
            </w:r>
            <w:r w:rsidR="00B042F1">
              <w:rPr>
                <w:noProof/>
                <w:webHidden/>
              </w:rPr>
              <w:t>13</w:t>
            </w:r>
            <w:r w:rsidRPr="00767219">
              <w:rPr>
                <w:noProof/>
                <w:webHidden/>
              </w:rPr>
              <w:fldChar w:fldCharType="end"/>
            </w:r>
          </w:hyperlink>
        </w:p>
        <w:p w:rsidR="00767219" w:rsidRPr="00767219" w:rsidRDefault="00767219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sq-AL"/>
            </w:rPr>
          </w:pPr>
          <w:r>
            <w:rPr>
              <w:rStyle w:val="Hyperlink"/>
              <w:noProof/>
              <w:u w:val="none"/>
            </w:rPr>
            <w:t xml:space="preserve">    </w:t>
          </w:r>
          <w:hyperlink w:anchor="_Toc504390431" w:history="1">
            <w:r w:rsidRPr="00767219">
              <w:rPr>
                <w:rStyle w:val="Hyperlink"/>
                <w:rFonts w:ascii="Times New Roman" w:hAnsi="Times New Roman" w:cs="Times New Roman"/>
                <w:noProof/>
              </w:rPr>
              <w:t>Ligji për Tatimin në të Ardhurat e Korporatave:</w:t>
            </w:r>
            <w:r w:rsidRPr="00767219">
              <w:rPr>
                <w:noProof/>
                <w:webHidden/>
              </w:rPr>
              <w:tab/>
            </w:r>
            <w:r w:rsidRPr="00767219">
              <w:rPr>
                <w:noProof/>
                <w:webHidden/>
              </w:rPr>
              <w:fldChar w:fldCharType="begin"/>
            </w:r>
            <w:r w:rsidRPr="00767219">
              <w:rPr>
                <w:noProof/>
                <w:webHidden/>
              </w:rPr>
              <w:instrText xml:space="preserve"> PAGEREF _Toc504390431 \h </w:instrText>
            </w:r>
            <w:r w:rsidRPr="00767219">
              <w:rPr>
                <w:noProof/>
                <w:webHidden/>
              </w:rPr>
            </w:r>
            <w:r w:rsidRPr="00767219">
              <w:rPr>
                <w:noProof/>
                <w:webHidden/>
              </w:rPr>
              <w:fldChar w:fldCharType="separate"/>
            </w:r>
            <w:r w:rsidR="00B042F1">
              <w:rPr>
                <w:noProof/>
                <w:webHidden/>
              </w:rPr>
              <w:t>15</w:t>
            </w:r>
            <w:r w:rsidRPr="00767219">
              <w:rPr>
                <w:noProof/>
                <w:webHidden/>
              </w:rPr>
              <w:fldChar w:fldCharType="end"/>
            </w:r>
          </w:hyperlink>
        </w:p>
        <w:p w:rsidR="00767219" w:rsidRPr="00767219" w:rsidRDefault="00F6072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sq-AL"/>
            </w:rPr>
          </w:pPr>
          <w:hyperlink w:anchor="_Toc504390432" w:history="1">
            <w:r w:rsidR="00767219" w:rsidRPr="00767219">
              <w:rPr>
                <w:rStyle w:val="Hyperlink"/>
                <w:rFonts w:ascii="Times New Roman" w:hAnsi="Times New Roman" w:cs="Times New Roman"/>
                <w:noProof/>
              </w:rPr>
              <w:t>7.</w:t>
            </w:r>
            <w:r w:rsidR="00767219" w:rsidRPr="00767219">
              <w:rPr>
                <w:rFonts w:eastAsiaTheme="minorEastAsia"/>
                <w:noProof/>
                <w:lang w:eastAsia="sq-AL"/>
              </w:rPr>
              <w:tab/>
            </w:r>
            <w:r w:rsidR="00767219" w:rsidRPr="00767219">
              <w:rPr>
                <w:rStyle w:val="Hyperlink"/>
                <w:rFonts w:ascii="Times New Roman" w:hAnsi="Times New Roman" w:cs="Times New Roman"/>
                <w:noProof/>
              </w:rPr>
              <w:t>Pasojat e të gjitha opsioneve të konsideruara</w:t>
            </w:r>
            <w:r w:rsidR="00767219" w:rsidRPr="00767219">
              <w:rPr>
                <w:noProof/>
                <w:webHidden/>
              </w:rPr>
              <w:tab/>
            </w:r>
            <w:r w:rsidR="00767219" w:rsidRPr="00767219">
              <w:rPr>
                <w:noProof/>
                <w:webHidden/>
              </w:rPr>
              <w:fldChar w:fldCharType="begin"/>
            </w:r>
            <w:r w:rsidR="00767219" w:rsidRPr="00767219">
              <w:rPr>
                <w:noProof/>
                <w:webHidden/>
              </w:rPr>
              <w:instrText xml:space="preserve"> PAGEREF _Toc504390432 \h </w:instrText>
            </w:r>
            <w:r w:rsidR="00767219" w:rsidRPr="00767219">
              <w:rPr>
                <w:noProof/>
                <w:webHidden/>
              </w:rPr>
            </w:r>
            <w:r w:rsidR="00767219" w:rsidRPr="00767219">
              <w:rPr>
                <w:noProof/>
                <w:webHidden/>
              </w:rPr>
              <w:fldChar w:fldCharType="separate"/>
            </w:r>
            <w:r w:rsidR="00B042F1">
              <w:rPr>
                <w:noProof/>
                <w:webHidden/>
              </w:rPr>
              <w:t>16</w:t>
            </w:r>
            <w:r w:rsidR="00767219" w:rsidRPr="00767219">
              <w:rPr>
                <w:noProof/>
                <w:webHidden/>
              </w:rPr>
              <w:fldChar w:fldCharType="end"/>
            </w:r>
          </w:hyperlink>
        </w:p>
        <w:p w:rsidR="00767219" w:rsidRPr="00767219" w:rsidRDefault="00F6072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sq-AL"/>
            </w:rPr>
          </w:pPr>
          <w:hyperlink w:anchor="_Toc504390433" w:history="1">
            <w:r w:rsidR="00767219" w:rsidRPr="00767219">
              <w:rPr>
                <w:rStyle w:val="Hyperlink"/>
                <w:rFonts w:ascii="Times New Roman" w:hAnsi="Times New Roman" w:cs="Times New Roman"/>
                <w:noProof/>
              </w:rPr>
              <w:t>8.</w:t>
            </w:r>
            <w:r w:rsidR="00767219" w:rsidRPr="00767219">
              <w:rPr>
                <w:rFonts w:eastAsiaTheme="minorEastAsia"/>
                <w:noProof/>
                <w:lang w:eastAsia="sq-AL"/>
              </w:rPr>
              <w:tab/>
            </w:r>
            <w:r w:rsidR="00767219" w:rsidRPr="00767219">
              <w:rPr>
                <w:rStyle w:val="Hyperlink"/>
                <w:rFonts w:ascii="Times New Roman" w:hAnsi="Times New Roman" w:cs="Times New Roman"/>
                <w:noProof/>
              </w:rPr>
              <w:t>Vlerësimi i ndikimit financiar për secilin propozim</w:t>
            </w:r>
            <w:r w:rsidR="00767219" w:rsidRPr="00767219">
              <w:rPr>
                <w:noProof/>
                <w:webHidden/>
              </w:rPr>
              <w:tab/>
            </w:r>
            <w:r w:rsidR="00767219" w:rsidRPr="00767219">
              <w:rPr>
                <w:noProof/>
                <w:webHidden/>
              </w:rPr>
              <w:fldChar w:fldCharType="begin"/>
            </w:r>
            <w:r w:rsidR="00767219" w:rsidRPr="00767219">
              <w:rPr>
                <w:noProof/>
                <w:webHidden/>
              </w:rPr>
              <w:instrText xml:space="preserve"> PAGEREF _Toc504390433 \h </w:instrText>
            </w:r>
            <w:r w:rsidR="00767219" w:rsidRPr="00767219">
              <w:rPr>
                <w:noProof/>
                <w:webHidden/>
              </w:rPr>
            </w:r>
            <w:r w:rsidR="00767219" w:rsidRPr="00767219">
              <w:rPr>
                <w:noProof/>
                <w:webHidden/>
              </w:rPr>
              <w:fldChar w:fldCharType="separate"/>
            </w:r>
            <w:r w:rsidR="00B042F1">
              <w:rPr>
                <w:noProof/>
                <w:webHidden/>
              </w:rPr>
              <w:t>16</w:t>
            </w:r>
            <w:r w:rsidR="00767219" w:rsidRPr="00767219">
              <w:rPr>
                <w:noProof/>
                <w:webHidden/>
              </w:rPr>
              <w:fldChar w:fldCharType="end"/>
            </w:r>
          </w:hyperlink>
        </w:p>
        <w:p w:rsidR="00767219" w:rsidRPr="00767219" w:rsidRDefault="00F6072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sq-AL"/>
            </w:rPr>
          </w:pPr>
          <w:hyperlink w:anchor="_Toc504390434" w:history="1">
            <w:r w:rsidR="00767219" w:rsidRPr="00767219">
              <w:rPr>
                <w:rStyle w:val="Hyperlink"/>
                <w:rFonts w:ascii="Times New Roman" w:hAnsi="Times New Roman" w:cs="Times New Roman"/>
                <w:noProof/>
              </w:rPr>
              <w:t>9.</w:t>
            </w:r>
            <w:r w:rsidR="00767219" w:rsidRPr="00767219">
              <w:rPr>
                <w:rFonts w:eastAsiaTheme="minorEastAsia"/>
                <w:noProof/>
                <w:lang w:eastAsia="sq-AL"/>
              </w:rPr>
              <w:tab/>
            </w:r>
            <w:r w:rsidR="00767219" w:rsidRPr="00767219">
              <w:rPr>
                <w:rStyle w:val="Hyperlink"/>
                <w:rFonts w:ascii="Times New Roman" w:hAnsi="Times New Roman" w:cs="Times New Roman"/>
                <w:noProof/>
              </w:rPr>
              <w:t>Konsultimet</w:t>
            </w:r>
            <w:r w:rsidR="00767219" w:rsidRPr="00767219">
              <w:rPr>
                <w:noProof/>
                <w:webHidden/>
              </w:rPr>
              <w:tab/>
            </w:r>
            <w:r w:rsidR="00767219" w:rsidRPr="00767219">
              <w:rPr>
                <w:noProof/>
                <w:webHidden/>
              </w:rPr>
              <w:fldChar w:fldCharType="begin"/>
            </w:r>
            <w:r w:rsidR="00767219" w:rsidRPr="00767219">
              <w:rPr>
                <w:noProof/>
                <w:webHidden/>
              </w:rPr>
              <w:instrText xml:space="preserve"> PAGEREF _Toc504390434 \h </w:instrText>
            </w:r>
            <w:r w:rsidR="00767219" w:rsidRPr="00767219">
              <w:rPr>
                <w:noProof/>
                <w:webHidden/>
              </w:rPr>
            </w:r>
            <w:r w:rsidR="00767219" w:rsidRPr="00767219">
              <w:rPr>
                <w:noProof/>
                <w:webHidden/>
              </w:rPr>
              <w:fldChar w:fldCharType="separate"/>
            </w:r>
            <w:r w:rsidR="00B042F1">
              <w:rPr>
                <w:noProof/>
                <w:webHidden/>
              </w:rPr>
              <w:t>17</w:t>
            </w:r>
            <w:r w:rsidR="00767219" w:rsidRPr="00767219">
              <w:rPr>
                <w:noProof/>
                <w:webHidden/>
              </w:rPr>
              <w:fldChar w:fldCharType="end"/>
            </w:r>
          </w:hyperlink>
        </w:p>
        <w:p w:rsidR="00767219" w:rsidRPr="00767219" w:rsidRDefault="00F6072A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sq-AL"/>
            </w:rPr>
          </w:pPr>
          <w:hyperlink w:anchor="_Toc504390435" w:history="1">
            <w:r w:rsidR="00767219" w:rsidRPr="00767219">
              <w:rPr>
                <w:rStyle w:val="Hyperlink"/>
                <w:rFonts w:ascii="Times New Roman" w:hAnsi="Times New Roman" w:cs="Times New Roman"/>
                <w:noProof/>
              </w:rPr>
              <w:t>10.</w:t>
            </w:r>
            <w:r w:rsidR="00767219">
              <w:rPr>
                <w:rFonts w:eastAsiaTheme="minorEastAsia"/>
                <w:noProof/>
                <w:lang w:eastAsia="sq-AL"/>
              </w:rPr>
              <w:t xml:space="preserve">    </w:t>
            </w:r>
            <w:r w:rsidR="00767219" w:rsidRPr="00767219">
              <w:rPr>
                <w:rStyle w:val="Hyperlink"/>
                <w:rFonts w:ascii="Times New Roman" w:hAnsi="Times New Roman" w:cs="Times New Roman"/>
                <w:noProof/>
              </w:rPr>
              <w:t>Mënyra e komunikimit të politikës së re publikut</w:t>
            </w:r>
            <w:r w:rsidR="00767219" w:rsidRPr="00767219">
              <w:rPr>
                <w:noProof/>
                <w:webHidden/>
              </w:rPr>
              <w:tab/>
            </w:r>
            <w:r w:rsidR="00767219" w:rsidRPr="00767219">
              <w:rPr>
                <w:noProof/>
                <w:webHidden/>
              </w:rPr>
              <w:fldChar w:fldCharType="begin"/>
            </w:r>
            <w:r w:rsidR="00767219" w:rsidRPr="00767219">
              <w:rPr>
                <w:noProof/>
                <w:webHidden/>
              </w:rPr>
              <w:instrText xml:space="preserve"> PAGEREF _Toc504390435 \h </w:instrText>
            </w:r>
            <w:r w:rsidR="00767219" w:rsidRPr="00767219">
              <w:rPr>
                <w:noProof/>
                <w:webHidden/>
              </w:rPr>
            </w:r>
            <w:r w:rsidR="00767219" w:rsidRPr="00767219">
              <w:rPr>
                <w:noProof/>
                <w:webHidden/>
              </w:rPr>
              <w:fldChar w:fldCharType="separate"/>
            </w:r>
            <w:r w:rsidR="00B042F1">
              <w:rPr>
                <w:noProof/>
                <w:webHidden/>
              </w:rPr>
              <w:t>18</w:t>
            </w:r>
            <w:r w:rsidR="00767219" w:rsidRPr="00767219">
              <w:rPr>
                <w:noProof/>
                <w:webHidden/>
              </w:rPr>
              <w:fldChar w:fldCharType="end"/>
            </w:r>
          </w:hyperlink>
        </w:p>
        <w:p w:rsidR="00AD00B7" w:rsidRDefault="00AD00B7">
          <w:r w:rsidRPr="00767219">
            <w:rPr>
              <w:bCs/>
              <w:noProof/>
            </w:rPr>
            <w:fldChar w:fldCharType="end"/>
          </w:r>
        </w:p>
      </w:sdtContent>
    </w:sdt>
    <w:p w:rsidR="00207555" w:rsidRPr="00F420E1" w:rsidRDefault="00207555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F420E1">
        <w:rPr>
          <w:color w:val="002060"/>
        </w:rPr>
        <w:br w:type="page"/>
      </w:r>
    </w:p>
    <w:p w:rsidR="00161310" w:rsidRPr="00C55940" w:rsidRDefault="00161310" w:rsidP="008D672D">
      <w:pPr>
        <w:pStyle w:val="Heading1"/>
        <w:numPr>
          <w:ilvl w:val="0"/>
          <w:numId w:val="14"/>
        </w:numPr>
        <w:rPr>
          <w:rFonts w:ascii="Times New Roman" w:hAnsi="Times New Roman" w:cs="Times New Roman"/>
          <w:b/>
          <w:color w:val="000099"/>
          <w:sz w:val="28"/>
          <w:szCs w:val="24"/>
        </w:rPr>
      </w:pPr>
      <w:bookmarkStart w:id="0" w:name="_Toc504390422"/>
      <w:r w:rsidRPr="00C55940">
        <w:rPr>
          <w:rFonts w:ascii="Times New Roman" w:hAnsi="Times New Roman" w:cs="Times New Roman"/>
          <w:b/>
          <w:color w:val="000099"/>
          <w:sz w:val="28"/>
          <w:szCs w:val="24"/>
        </w:rPr>
        <w:lastRenderedPageBreak/>
        <w:t>Hyrje</w:t>
      </w:r>
      <w:bookmarkEnd w:id="0"/>
    </w:p>
    <w:p w:rsidR="00161310" w:rsidRPr="00C55940" w:rsidRDefault="00161310" w:rsidP="008D672D">
      <w:pPr>
        <w:pStyle w:val="Default"/>
        <w:ind w:left="720"/>
        <w:jc w:val="both"/>
        <w:rPr>
          <w:color w:val="auto"/>
        </w:rPr>
      </w:pPr>
    </w:p>
    <w:p w:rsidR="00932F22" w:rsidRPr="00C55940" w:rsidRDefault="00932F22" w:rsidP="008D672D">
      <w:pPr>
        <w:pStyle w:val="Default"/>
        <w:jc w:val="both"/>
        <w:rPr>
          <w:iCs/>
          <w:color w:val="auto"/>
        </w:rPr>
      </w:pPr>
      <w:r w:rsidRPr="00C55940">
        <w:rPr>
          <w:color w:val="auto"/>
        </w:rPr>
        <w:t>Aktualisht t</w:t>
      </w:r>
      <w:r w:rsidR="00161310" w:rsidRPr="00C55940">
        <w:rPr>
          <w:color w:val="auto"/>
        </w:rPr>
        <w:t xml:space="preserve">atimet në përgjithësi </w:t>
      </w:r>
      <w:r w:rsidRPr="00C55940">
        <w:rPr>
          <w:color w:val="auto"/>
        </w:rPr>
        <w:t>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Kosov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rregullohen  me ligje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veçanta</w:t>
      </w:r>
      <w:r w:rsidR="008D672D" w:rsidRPr="00C55940">
        <w:rPr>
          <w:color w:val="auto"/>
        </w:rPr>
        <w:t>,</w:t>
      </w:r>
      <w:r w:rsidRPr="00C55940">
        <w:rPr>
          <w:color w:val="auto"/>
        </w:rPr>
        <w:t xml:space="preserve"> varësisht llojit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tatimit</w:t>
      </w:r>
      <w:r w:rsidR="008D672D" w:rsidRPr="00C55940">
        <w:rPr>
          <w:color w:val="auto"/>
        </w:rPr>
        <w:t xml:space="preserve"> </w:t>
      </w:r>
      <w:r w:rsidR="008D4E65" w:rsidRPr="00C55940">
        <w:rPr>
          <w:color w:val="auto"/>
        </w:rPr>
        <w:t>(T</w:t>
      </w:r>
      <w:r w:rsidR="008D672D" w:rsidRPr="00C55940">
        <w:rPr>
          <w:color w:val="auto"/>
        </w:rPr>
        <w:t>atimi mbi Vler</w:t>
      </w:r>
      <w:r w:rsidR="00207555" w:rsidRPr="00C55940">
        <w:rPr>
          <w:color w:val="auto"/>
        </w:rPr>
        <w:t>ë</w:t>
      </w:r>
      <w:r w:rsidR="008D672D" w:rsidRPr="00C55940">
        <w:rPr>
          <w:color w:val="auto"/>
        </w:rPr>
        <w:t>n e Shtuar – T</w:t>
      </w:r>
      <w:r w:rsidR="008D4E65" w:rsidRPr="00C55940">
        <w:rPr>
          <w:color w:val="auto"/>
        </w:rPr>
        <w:t>VSh</w:t>
      </w:r>
      <w:r w:rsidR="008D672D" w:rsidRPr="00C55940">
        <w:rPr>
          <w:color w:val="auto"/>
        </w:rPr>
        <w:t>,</w:t>
      </w:r>
      <w:r w:rsidR="008D4E65" w:rsidRPr="00C55940">
        <w:rPr>
          <w:color w:val="auto"/>
        </w:rPr>
        <w:t xml:space="preserve"> me Ligjin Nr. 05/L-037, T</w:t>
      </w:r>
      <w:r w:rsidR="008D672D" w:rsidRPr="00C55940">
        <w:rPr>
          <w:color w:val="auto"/>
        </w:rPr>
        <w:t>atimi n</w:t>
      </w:r>
      <w:r w:rsidR="00207555" w:rsidRPr="00C55940">
        <w:rPr>
          <w:color w:val="auto"/>
        </w:rPr>
        <w:t>ë</w:t>
      </w:r>
      <w:r w:rsidR="008D672D" w:rsidRPr="00C55940">
        <w:rPr>
          <w:color w:val="auto"/>
        </w:rPr>
        <w:t xml:space="preserve"> t</w:t>
      </w:r>
      <w:r w:rsidR="00207555" w:rsidRPr="00C55940">
        <w:rPr>
          <w:color w:val="auto"/>
        </w:rPr>
        <w:t>ë</w:t>
      </w:r>
      <w:r w:rsidR="008D672D" w:rsidRPr="00C55940">
        <w:rPr>
          <w:color w:val="auto"/>
        </w:rPr>
        <w:t xml:space="preserve"> Ardhura Personale – TAP,</w:t>
      </w:r>
      <w:r w:rsidR="008D4E65" w:rsidRPr="00C55940">
        <w:rPr>
          <w:color w:val="auto"/>
        </w:rPr>
        <w:t xml:space="preserve"> me Ligjin Nr. 05/L-028</w:t>
      </w:r>
      <w:r w:rsidR="008D672D" w:rsidRPr="00C55940">
        <w:rPr>
          <w:color w:val="auto"/>
        </w:rPr>
        <w:t>,</w:t>
      </w:r>
      <w:r w:rsidR="008D4E65" w:rsidRPr="00C55940">
        <w:rPr>
          <w:color w:val="auto"/>
        </w:rPr>
        <w:t xml:space="preserve"> si dhe T</w:t>
      </w:r>
      <w:r w:rsidR="008D672D" w:rsidRPr="00C55940">
        <w:rPr>
          <w:color w:val="auto"/>
        </w:rPr>
        <w:t>atimi n</w:t>
      </w:r>
      <w:r w:rsidR="00207555" w:rsidRPr="00C55940">
        <w:rPr>
          <w:color w:val="auto"/>
        </w:rPr>
        <w:t>ë</w:t>
      </w:r>
      <w:r w:rsidR="008D672D" w:rsidRPr="00C55940">
        <w:rPr>
          <w:color w:val="auto"/>
        </w:rPr>
        <w:t xml:space="preserve"> t</w:t>
      </w:r>
      <w:r w:rsidR="00207555" w:rsidRPr="00C55940">
        <w:rPr>
          <w:color w:val="auto"/>
        </w:rPr>
        <w:t>ë</w:t>
      </w:r>
      <w:r w:rsidR="008D672D" w:rsidRPr="00C55940">
        <w:rPr>
          <w:color w:val="auto"/>
        </w:rPr>
        <w:t xml:space="preserve"> Ardhurat e Korporatave – T</w:t>
      </w:r>
      <w:r w:rsidR="008D4E65" w:rsidRPr="00C55940">
        <w:rPr>
          <w:color w:val="auto"/>
        </w:rPr>
        <w:t>AK</w:t>
      </w:r>
      <w:r w:rsidR="008D672D" w:rsidRPr="00C55940">
        <w:rPr>
          <w:color w:val="auto"/>
        </w:rPr>
        <w:t xml:space="preserve">, </w:t>
      </w:r>
      <w:r w:rsidR="008D4E65" w:rsidRPr="00C55940">
        <w:rPr>
          <w:color w:val="auto"/>
        </w:rPr>
        <w:t>me Ligjin Nr.05/L-029)</w:t>
      </w:r>
      <w:r w:rsidR="008D672D" w:rsidRPr="00C55940">
        <w:rPr>
          <w:color w:val="auto"/>
        </w:rPr>
        <w:t>,</w:t>
      </w:r>
      <w:r w:rsidR="001B4778" w:rsidRPr="00C55940">
        <w:rPr>
          <w:color w:val="auto"/>
        </w:rPr>
        <w:t xml:space="preserve"> kurse procedurat i rregullon</w:t>
      </w:r>
      <w:r w:rsidR="00161310" w:rsidRPr="00C55940">
        <w:rPr>
          <w:color w:val="auto"/>
        </w:rPr>
        <w:t xml:space="preserve"> Ligji Nr. 03/L-222</w:t>
      </w:r>
      <w:r w:rsidR="001B4778" w:rsidRPr="00C55940">
        <w:rPr>
          <w:color w:val="auto"/>
        </w:rPr>
        <w:t xml:space="preserve"> per Administratën Tatimore dhe Procedurat</w:t>
      </w:r>
      <w:r w:rsidR="008D672D" w:rsidRPr="00C55940">
        <w:rPr>
          <w:color w:val="auto"/>
        </w:rPr>
        <w:t>,</w:t>
      </w:r>
      <w:r w:rsidR="001B4778" w:rsidRPr="00C55940">
        <w:rPr>
          <w:color w:val="auto"/>
        </w:rPr>
        <w:t xml:space="preserve"> i ndryshuar dhe plotësuar me Ligjin nr. 04/L-102 dhe 04/l-223.</w:t>
      </w:r>
      <w:r w:rsidR="001B4778" w:rsidRPr="00C55940">
        <w:rPr>
          <w:iCs/>
          <w:color w:val="auto"/>
        </w:rPr>
        <w:t xml:space="preserve"> </w:t>
      </w:r>
    </w:p>
    <w:p w:rsidR="001B4778" w:rsidRPr="00C55940" w:rsidRDefault="001B4778" w:rsidP="008D672D">
      <w:pPr>
        <w:pStyle w:val="Default"/>
        <w:jc w:val="both"/>
        <w:rPr>
          <w:iCs/>
          <w:color w:val="auto"/>
        </w:rPr>
      </w:pPr>
    </w:p>
    <w:p w:rsidR="00932F22" w:rsidRPr="00C55940" w:rsidRDefault="00932F22" w:rsidP="008D672D">
      <w:pPr>
        <w:jc w:val="both"/>
        <w:rPr>
          <w:rFonts w:ascii="Times New Roman" w:hAnsi="Times New Roman" w:cs="Times New Roman"/>
          <w:sz w:val="24"/>
          <w:szCs w:val="24"/>
        </w:rPr>
      </w:pPr>
      <w:r w:rsidRPr="00C55940">
        <w:rPr>
          <w:rFonts w:ascii="Times New Roman" w:hAnsi="Times New Roman" w:cs="Times New Roman"/>
          <w:sz w:val="24"/>
          <w:szCs w:val="24"/>
        </w:rPr>
        <w:t>Megjithatë, ligji aktual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fuqi</w:t>
      </w:r>
      <w:r w:rsidR="008D4E65" w:rsidRPr="00C55940">
        <w:rPr>
          <w:rFonts w:ascii="Times New Roman" w:hAnsi="Times New Roman" w:cs="Times New Roman"/>
          <w:sz w:val="24"/>
          <w:szCs w:val="24"/>
        </w:rPr>
        <w:t xml:space="preserve"> p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8D4E65" w:rsidRPr="00C55940">
        <w:rPr>
          <w:rFonts w:ascii="Times New Roman" w:hAnsi="Times New Roman" w:cs="Times New Roman"/>
          <w:sz w:val="24"/>
          <w:szCs w:val="24"/>
        </w:rPr>
        <w:t>r Administratën Tatimore dhe Procedurat</w:t>
      </w:r>
      <w:r w:rsidRPr="00C55940">
        <w:rPr>
          <w:rFonts w:ascii="Times New Roman" w:hAnsi="Times New Roman" w:cs="Times New Roman"/>
          <w:sz w:val="24"/>
          <w:szCs w:val="24"/>
        </w:rPr>
        <w:t xml:space="preserve">, edhe pse bën adresimin e procedurave, të drejtave dhe detyrimeve të tatimpaguesve, po edhe të Administratës Tatimore, në çështjet e propozuara për ndryshime, ka raste kur ka qenë pengesë dhe nxitës i mos përmbushjes së obligimeve dhe pengesës për përmbushjen vullnetare. Në anën tjetër,  Ligji përmban edhe gabime teknike që duhet të përmirësohen. </w:t>
      </w:r>
    </w:p>
    <w:p w:rsidR="00932F22" w:rsidRPr="00C55940" w:rsidRDefault="00932F22" w:rsidP="008D672D">
      <w:pPr>
        <w:jc w:val="both"/>
        <w:rPr>
          <w:rFonts w:ascii="Times New Roman" w:hAnsi="Times New Roman" w:cs="Times New Roman"/>
          <w:sz w:val="24"/>
          <w:szCs w:val="24"/>
        </w:rPr>
      </w:pPr>
      <w:r w:rsidRPr="00C55940">
        <w:rPr>
          <w:rFonts w:ascii="Times New Roman" w:hAnsi="Times New Roman" w:cs="Times New Roman"/>
          <w:sz w:val="24"/>
          <w:szCs w:val="24"/>
        </w:rPr>
        <w:t>Edhe pse Ligji</w:t>
      </w:r>
      <w:r w:rsidR="001B4778" w:rsidRPr="00C55940">
        <w:rPr>
          <w:rFonts w:ascii="Times New Roman" w:hAnsi="Times New Roman" w:cs="Times New Roman"/>
          <w:sz w:val="24"/>
          <w:szCs w:val="24"/>
        </w:rPr>
        <w:t xml:space="preserve"> p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1B4778" w:rsidRPr="00C55940">
        <w:rPr>
          <w:rFonts w:ascii="Times New Roman" w:hAnsi="Times New Roman" w:cs="Times New Roman"/>
          <w:sz w:val="24"/>
          <w:szCs w:val="24"/>
        </w:rPr>
        <w:t xml:space="preserve">r </w:t>
      </w:r>
      <w:r w:rsidR="008D4E65" w:rsidRPr="00C55940">
        <w:rPr>
          <w:rFonts w:ascii="Times New Roman" w:hAnsi="Times New Roman" w:cs="Times New Roman"/>
          <w:sz w:val="24"/>
          <w:szCs w:val="24"/>
        </w:rPr>
        <w:t>Administratën Tatimore dhe Procedurat,</w:t>
      </w:r>
      <w:r w:rsidRPr="00C55940">
        <w:rPr>
          <w:rFonts w:ascii="Times New Roman" w:hAnsi="Times New Roman" w:cs="Times New Roman"/>
          <w:sz w:val="24"/>
          <w:szCs w:val="24"/>
        </w:rPr>
        <w:t xml:space="preserve"> në pjesën dërmuese të tij është në paj</w:t>
      </w:r>
      <w:r w:rsidR="008D4E65" w:rsidRPr="00C55940">
        <w:rPr>
          <w:rFonts w:ascii="Times New Roman" w:hAnsi="Times New Roman" w:cs="Times New Roman"/>
          <w:sz w:val="24"/>
          <w:szCs w:val="24"/>
        </w:rPr>
        <w:t>tim me raportet e i</w:t>
      </w:r>
      <w:r w:rsidRPr="00C55940">
        <w:rPr>
          <w:rFonts w:ascii="Times New Roman" w:hAnsi="Times New Roman" w:cs="Times New Roman"/>
          <w:sz w:val="24"/>
          <w:szCs w:val="24"/>
        </w:rPr>
        <w:t>nstitucioneve ndërkombëtare, përfshirë Rekomandimet e FMN</w:t>
      </w:r>
      <w:r w:rsidR="008D4E65" w:rsidRPr="00C55940">
        <w:rPr>
          <w:rFonts w:ascii="Times New Roman" w:hAnsi="Times New Roman" w:cs="Times New Roman"/>
          <w:sz w:val="24"/>
          <w:szCs w:val="24"/>
        </w:rPr>
        <w:t>-s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8D672D" w:rsidRPr="00C55940">
        <w:rPr>
          <w:rFonts w:ascii="Times New Roman" w:hAnsi="Times New Roman" w:cs="Times New Roman"/>
          <w:sz w:val="24"/>
          <w:szCs w:val="24"/>
        </w:rPr>
        <w:t>,</w:t>
      </w:r>
      <w:r w:rsidRPr="00C55940">
        <w:rPr>
          <w:rFonts w:ascii="Times New Roman" w:hAnsi="Times New Roman" w:cs="Times New Roman"/>
          <w:sz w:val="24"/>
          <w:szCs w:val="24"/>
        </w:rPr>
        <w:t xml:space="preserve"> të cilët adresojnë kryesisht problemin e borxheve të tatimpaguesve, në të cilën çështje kemi edhe ngecjet më të mëdha të tatimpaguesve pavarësisht statusit të tyre, bizneset individuale dhe juridike, po edhe ngecjet e Administratës Tatimore. Këta e konsiderojnë Ligjin të vështirë për t’u aplikuar. Andaj, kjo kërkon që Ligji të rishikohet, të bëhet me i thjeshtë, m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i qartë dhe mangësitë e caktuara dhe gabimet teknike kërkojnë ndryshime dhe korrigjime. Këto probleme mund të adresohen vetëm me hartimin e Projektligjit, i cili synohet të ofroj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një aplikim më të lehtë dhe më të qartë të dispozitave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përmbushjes tatimore. </w:t>
      </w:r>
    </w:p>
    <w:p w:rsidR="00932F22" w:rsidRPr="00C55940" w:rsidRDefault="00932F22" w:rsidP="008D672D">
      <w:pPr>
        <w:jc w:val="both"/>
        <w:rPr>
          <w:rFonts w:ascii="Times New Roman" w:hAnsi="Times New Roman" w:cs="Times New Roman"/>
          <w:sz w:val="24"/>
          <w:szCs w:val="24"/>
        </w:rPr>
      </w:pPr>
      <w:r w:rsidRPr="00C55940">
        <w:rPr>
          <w:rFonts w:ascii="Times New Roman" w:hAnsi="Times New Roman" w:cs="Times New Roman"/>
          <w:sz w:val="24"/>
          <w:szCs w:val="24"/>
        </w:rPr>
        <w:t>Ndryshimet do të adresojnë strukturën e Ligjit m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objektiv të sqarimit të Ligjit dhe aplikimit më të lehtë. Ndryshimet e tilla përfshijnë gjithashtu thjeshtësimin e Ligjit duke përpiluar dispozitat e përgjithshme kur kjo është e mundur, dhe dispozitat e veçanta vetëm kur dispozitat e përgjithshme nuk janë të mjaftueshme. </w:t>
      </w:r>
    </w:p>
    <w:p w:rsidR="00932F22" w:rsidRPr="00C55940" w:rsidRDefault="001B4778" w:rsidP="008D672D">
      <w:pPr>
        <w:jc w:val="both"/>
        <w:rPr>
          <w:rFonts w:ascii="Times New Roman" w:hAnsi="Times New Roman" w:cs="Times New Roman"/>
          <w:sz w:val="24"/>
          <w:szCs w:val="24"/>
        </w:rPr>
      </w:pPr>
      <w:r w:rsidRPr="00C55940">
        <w:rPr>
          <w:rFonts w:ascii="Times New Roman" w:hAnsi="Times New Roman" w:cs="Times New Roman"/>
          <w:sz w:val="24"/>
          <w:szCs w:val="24"/>
        </w:rPr>
        <w:t>Arsyet kryesore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përgatitjes s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koncept dokumentit për këto ligje</w:t>
      </w:r>
      <w:r w:rsidR="00932F22" w:rsidRPr="00C55940">
        <w:rPr>
          <w:rFonts w:ascii="Times New Roman" w:hAnsi="Times New Roman" w:cs="Times New Roman"/>
          <w:sz w:val="24"/>
          <w:szCs w:val="24"/>
        </w:rPr>
        <w:t>, janë harmonizimi me legjislacionin e B</w:t>
      </w:r>
      <w:r w:rsidR="008D672D" w:rsidRPr="00C55940">
        <w:rPr>
          <w:rFonts w:ascii="Times New Roman" w:hAnsi="Times New Roman" w:cs="Times New Roman"/>
          <w:sz w:val="24"/>
          <w:szCs w:val="24"/>
        </w:rPr>
        <w:t>ashkimit Evropian</w:t>
      </w:r>
      <w:r w:rsidR="00932F22" w:rsidRPr="00C55940">
        <w:rPr>
          <w:rFonts w:ascii="Times New Roman" w:hAnsi="Times New Roman" w:cs="Times New Roman"/>
          <w:sz w:val="24"/>
          <w:szCs w:val="24"/>
        </w:rPr>
        <w:t xml:space="preserve"> dhe praktikat ndërkombëtare. Gjithashtu</w:t>
      </w:r>
      <w:r w:rsidR="008D672D" w:rsidRPr="00C55940">
        <w:rPr>
          <w:rFonts w:ascii="Times New Roman" w:hAnsi="Times New Roman" w:cs="Times New Roman"/>
          <w:sz w:val="24"/>
          <w:szCs w:val="24"/>
        </w:rPr>
        <w:t>,</w:t>
      </w:r>
      <w:r w:rsidR="00932F22" w:rsidRPr="00C55940">
        <w:rPr>
          <w:rFonts w:ascii="Times New Roman" w:hAnsi="Times New Roman" w:cs="Times New Roman"/>
          <w:sz w:val="24"/>
          <w:szCs w:val="24"/>
        </w:rPr>
        <w:t xml:space="preserve"> arsye është edhe krijimi i një mjedisi të favorshëm </w:t>
      </w:r>
      <w:proofErr w:type="spellStart"/>
      <w:r w:rsidR="00932F22" w:rsidRPr="00C55940">
        <w:rPr>
          <w:rFonts w:ascii="Times New Roman" w:hAnsi="Times New Roman" w:cs="Times New Roman"/>
          <w:sz w:val="24"/>
          <w:szCs w:val="24"/>
        </w:rPr>
        <w:t>biznesor</w:t>
      </w:r>
      <w:proofErr w:type="spellEnd"/>
      <w:r w:rsidR="00932F22" w:rsidRPr="00C55940">
        <w:rPr>
          <w:rFonts w:ascii="Times New Roman" w:hAnsi="Times New Roman" w:cs="Times New Roman"/>
          <w:sz w:val="24"/>
          <w:szCs w:val="24"/>
        </w:rPr>
        <w:t>.</w:t>
      </w:r>
    </w:p>
    <w:p w:rsidR="00161310" w:rsidRPr="00C55940" w:rsidRDefault="00161310" w:rsidP="008D672D">
      <w:pPr>
        <w:pStyle w:val="Default"/>
        <w:jc w:val="both"/>
        <w:rPr>
          <w:color w:val="auto"/>
        </w:rPr>
      </w:pPr>
      <w:r w:rsidRPr="00C55940">
        <w:rPr>
          <w:color w:val="auto"/>
        </w:rPr>
        <w:t xml:space="preserve">Andaj, me qëllim të adresimit </w:t>
      </w:r>
      <w:r w:rsidR="008D672D" w:rsidRPr="00C55940">
        <w:rPr>
          <w:color w:val="auto"/>
        </w:rPr>
        <w:t>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probl</w:t>
      </w:r>
      <w:r w:rsidR="008D4E65" w:rsidRPr="00C55940">
        <w:rPr>
          <w:color w:val="auto"/>
        </w:rPr>
        <w:t>emeve me të cilat ballafaqohen tatimpaguesit dhe i</w:t>
      </w:r>
      <w:r w:rsidRPr="00C55940">
        <w:rPr>
          <w:color w:val="auto"/>
        </w:rPr>
        <w:t xml:space="preserve">nstitucionet e zbatimit të Ligjit, përfshirë këtu </w:t>
      </w:r>
      <w:r w:rsidR="008D4E65" w:rsidRPr="00C55940">
        <w:rPr>
          <w:color w:val="auto"/>
        </w:rPr>
        <w:t xml:space="preserve">edhe </w:t>
      </w:r>
      <w:r w:rsidRPr="00C55940">
        <w:rPr>
          <w:color w:val="auto"/>
        </w:rPr>
        <w:t>problemet përmbajt</w:t>
      </w:r>
      <w:r w:rsidR="008D4E65" w:rsidRPr="00C55940">
        <w:rPr>
          <w:color w:val="auto"/>
        </w:rPr>
        <w:t>jesore dhe ato teknike të ligjeve aktuale n</w:t>
      </w:r>
      <w:r w:rsidR="00207555" w:rsidRPr="00C55940">
        <w:rPr>
          <w:color w:val="auto"/>
        </w:rPr>
        <w:t>ë</w:t>
      </w:r>
      <w:r w:rsidR="008D4E65" w:rsidRPr="00C55940">
        <w:rPr>
          <w:color w:val="auto"/>
        </w:rPr>
        <w:t xml:space="preserve"> fuqi</w:t>
      </w:r>
      <w:r w:rsidRPr="00C55940">
        <w:rPr>
          <w:color w:val="auto"/>
        </w:rPr>
        <w:t xml:space="preserve"> dhe të sfidave që lindin për harmonizimin e mëte</w:t>
      </w:r>
      <w:r w:rsidR="008D4E65" w:rsidRPr="00C55940">
        <w:rPr>
          <w:color w:val="auto"/>
        </w:rPr>
        <w:t>jmë të këtyre ligjeve</w:t>
      </w:r>
      <w:r w:rsidR="00F20201" w:rsidRPr="00C55940">
        <w:rPr>
          <w:color w:val="auto"/>
        </w:rPr>
        <w:t xml:space="preserve"> me legjislacionin e BE-s</w:t>
      </w:r>
      <w:r w:rsidR="00207555" w:rsidRPr="00C55940">
        <w:rPr>
          <w:color w:val="auto"/>
        </w:rPr>
        <w:t>ë</w:t>
      </w:r>
      <w:r w:rsidR="00F20201" w:rsidRPr="00C55940">
        <w:rPr>
          <w:color w:val="auto"/>
        </w:rPr>
        <w:t xml:space="preserve"> dhe praktikave ndërkombëtare</w:t>
      </w:r>
      <w:r w:rsidRPr="00C55940">
        <w:rPr>
          <w:color w:val="auto"/>
        </w:rPr>
        <w:t xml:space="preserve">, Ministria e Financave ka themeluar </w:t>
      </w:r>
      <w:r w:rsidR="001B4778" w:rsidRPr="00C55940">
        <w:rPr>
          <w:color w:val="auto"/>
        </w:rPr>
        <w:t>Grupin Punues</w:t>
      </w:r>
      <w:r w:rsidRPr="00C55940">
        <w:rPr>
          <w:color w:val="auto"/>
        </w:rPr>
        <w:t xml:space="preserve"> për hartimin e Koncept Dokumentit </w:t>
      </w:r>
      <w:r w:rsidR="00F20201" w:rsidRPr="00C55940">
        <w:rPr>
          <w:color w:val="auto"/>
        </w:rPr>
        <w:t>p</w:t>
      </w:r>
      <w:r w:rsidR="00207555" w:rsidRPr="00C55940">
        <w:rPr>
          <w:color w:val="auto"/>
        </w:rPr>
        <w:t>ë</w:t>
      </w:r>
      <w:r w:rsidR="00F20201" w:rsidRPr="00C55940">
        <w:rPr>
          <w:color w:val="auto"/>
        </w:rPr>
        <w:t xml:space="preserve">r Trajtimin e Kuadrit Ligjor </w:t>
      </w:r>
      <w:r w:rsidR="001B4778" w:rsidRPr="00C55940">
        <w:rPr>
          <w:color w:val="auto"/>
        </w:rPr>
        <w:t>t</w:t>
      </w:r>
      <w:r w:rsidR="00207555" w:rsidRPr="00C55940">
        <w:rPr>
          <w:color w:val="auto"/>
        </w:rPr>
        <w:t>ë</w:t>
      </w:r>
      <w:r w:rsidR="00F20201" w:rsidRPr="00C55940">
        <w:rPr>
          <w:color w:val="auto"/>
        </w:rPr>
        <w:t xml:space="preserve"> Tatimeve </w:t>
      </w:r>
      <w:r w:rsidR="001B4778" w:rsidRPr="00C55940">
        <w:rPr>
          <w:color w:val="auto"/>
        </w:rPr>
        <w:t>dhe Procedurave n</w:t>
      </w:r>
      <w:r w:rsidR="00207555" w:rsidRPr="00C55940">
        <w:rPr>
          <w:color w:val="auto"/>
        </w:rPr>
        <w:t>ë</w:t>
      </w:r>
      <w:r w:rsidR="001B4778" w:rsidRPr="00C55940">
        <w:rPr>
          <w:color w:val="auto"/>
        </w:rPr>
        <w:t xml:space="preserve"> Fushëveprimin e ATK-s</w:t>
      </w:r>
      <w:r w:rsidR="00207555" w:rsidRPr="00C55940">
        <w:rPr>
          <w:color w:val="auto"/>
        </w:rPr>
        <w:t>ë</w:t>
      </w:r>
      <w:r w:rsidR="008D672D" w:rsidRPr="00C55940">
        <w:rPr>
          <w:color w:val="auto"/>
        </w:rPr>
        <w:t>,</w:t>
      </w:r>
      <w:r w:rsidR="001B4778" w:rsidRPr="00C55940">
        <w:rPr>
          <w:color w:val="auto"/>
        </w:rPr>
        <w:t xml:space="preserve"> </w:t>
      </w:r>
      <w:r w:rsidR="00F20201" w:rsidRPr="00C55940">
        <w:rPr>
          <w:color w:val="auto"/>
        </w:rPr>
        <w:t>në përbërje nga përfaqësues nga A</w:t>
      </w:r>
      <w:r w:rsidRPr="00C55940">
        <w:rPr>
          <w:color w:val="auto"/>
        </w:rPr>
        <w:t xml:space="preserve">dministrata </w:t>
      </w:r>
      <w:r w:rsidR="00F20201" w:rsidRPr="00C55940">
        <w:rPr>
          <w:color w:val="auto"/>
        </w:rPr>
        <w:t xml:space="preserve">Tatimore e Kosovës </w:t>
      </w:r>
      <w:r w:rsidRPr="00C55940">
        <w:rPr>
          <w:color w:val="auto"/>
        </w:rPr>
        <w:t xml:space="preserve">dhe </w:t>
      </w:r>
      <w:r w:rsidR="00F20201" w:rsidRPr="00C55940">
        <w:rPr>
          <w:color w:val="auto"/>
        </w:rPr>
        <w:t>zyrtarë nga Ministri</w:t>
      </w:r>
      <w:r w:rsidR="001B4778" w:rsidRPr="00C55940">
        <w:rPr>
          <w:color w:val="auto"/>
        </w:rPr>
        <w:t xml:space="preserve">a </w:t>
      </w:r>
      <w:r w:rsidR="00F20201" w:rsidRPr="00C55940">
        <w:rPr>
          <w:color w:val="auto"/>
        </w:rPr>
        <w:t>e Financave.</w:t>
      </w:r>
    </w:p>
    <w:p w:rsidR="00161310" w:rsidRPr="00C55940" w:rsidRDefault="00161310" w:rsidP="008D672D">
      <w:pPr>
        <w:pStyle w:val="Default"/>
        <w:jc w:val="both"/>
        <w:rPr>
          <w:color w:val="auto"/>
        </w:rPr>
      </w:pPr>
    </w:p>
    <w:p w:rsidR="00C951F7" w:rsidRDefault="00161310" w:rsidP="00C951F7">
      <w:pPr>
        <w:pStyle w:val="Default"/>
        <w:jc w:val="both"/>
        <w:rPr>
          <w:color w:val="auto"/>
        </w:rPr>
      </w:pPr>
      <w:r w:rsidRPr="00C55940">
        <w:rPr>
          <w:color w:val="auto"/>
        </w:rPr>
        <w:t>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</w:t>
      </w:r>
      <w:r w:rsidR="001B4778" w:rsidRPr="00C55940">
        <w:rPr>
          <w:color w:val="auto"/>
        </w:rPr>
        <w:t>grupin punues</w:t>
      </w:r>
      <w:r w:rsidRPr="00C55940">
        <w:rPr>
          <w:color w:val="auto"/>
        </w:rPr>
        <w:t xml:space="preserve"> janë kyçur dhe kan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dhënë kontributin e tyre edhe zyrtar tjerë përgjegjës p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>r fusha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cilat </w:t>
      </w:r>
      <w:r w:rsidR="00F20201" w:rsidRPr="00C55940">
        <w:rPr>
          <w:color w:val="auto"/>
        </w:rPr>
        <w:t>ndikohen nga Legjislacioni tatimor</w:t>
      </w:r>
      <w:r w:rsidRPr="00C55940">
        <w:rPr>
          <w:color w:val="auto"/>
        </w:rPr>
        <w:t>. Po ashtu</w:t>
      </w:r>
      <w:r w:rsidR="008D672D" w:rsidRPr="00C55940">
        <w:rPr>
          <w:color w:val="auto"/>
        </w:rPr>
        <w:t>,</w:t>
      </w:r>
      <w:r w:rsidRPr="00C55940">
        <w:rPr>
          <w:color w:val="auto"/>
        </w:rPr>
        <w:t xml:space="preserve"> një kontribut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posaçëm ka pasur edhe </w:t>
      </w:r>
      <w:r w:rsidR="00F20201" w:rsidRPr="00C55940">
        <w:rPr>
          <w:color w:val="auto"/>
        </w:rPr>
        <w:t>GIZ</w:t>
      </w:r>
      <w:r w:rsidRPr="00C55940">
        <w:rPr>
          <w:color w:val="auto"/>
        </w:rPr>
        <w:t xml:space="preserve">. </w:t>
      </w:r>
    </w:p>
    <w:p w:rsidR="00C951F7" w:rsidRDefault="00C951F7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161310" w:rsidRPr="00C55940" w:rsidRDefault="00161310" w:rsidP="00C951F7">
      <w:pPr>
        <w:pStyle w:val="Heading1"/>
        <w:numPr>
          <w:ilvl w:val="0"/>
          <w:numId w:val="14"/>
        </w:numPr>
        <w:rPr>
          <w:rFonts w:ascii="Times New Roman" w:hAnsi="Times New Roman" w:cs="Times New Roman"/>
          <w:b/>
          <w:color w:val="000099"/>
          <w:sz w:val="28"/>
          <w:szCs w:val="24"/>
        </w:rPr>
      </w:pPr>
      <w:bookmarkStart w:id="1" w:name="_Toc504390423"/>
      <w:r w:rsidRPr="00C55940">
        <w:rPr>
          <w:rFonts w:ascii="Times New Roman" w:hAnsi="Times New Roman" w:cs="Times New Roman"/>
          <w:b/>
          <w:color w:val="000099"/>
          <w:sz w:val="28"/>
          <w:szCs w:val="24"/>
        </w:rPr>
        <w:lastRenderedPageBreak/>
        <w:t xml:space="preserve">Çështjet kryesore të marra në </w:t>
      </w:r>
      <w:proofErr w:type="spellStart"/>
      <w:r w:rsidRPr="00C55940">
        <w:rPr>
          <w:rFonts w:ascii="Times New Roman" w:hAnsi="Times New Roman" w:cs="Times New Roman"/>
          <w:b/>
          <w:color w:val="000099"/>
          <w:sz w:val="28"/>
          <w:szCs w:val="24"/>
        </w:rPr>
        <w:t>konsiderim</w:t>
      </w:r>
      <w:bookmarkEnd w:id="1"/>
      <w:proofErr w:type="spellEnd"/>
    </w:p>
    <w:p w:rsidR="00161310" w:rsidRPr="00C55940" w:rsidRDefault="00161310" w:rsidP="008D672D">
      <w:pPr>
        <w:pStyle w:val="Default"/>
        <w:jc w:val="both"/>
        <w:rPr>
          <w:color w:val="auto"/>
        </w:rPr>
      </w:pPr>
    </w:p>
    <w:p w:rsidR="009A3DC9" w:rsidRPr="00C55940" w:rsidRDefault="001B4778" w:rsidP="008D672D">
      <w:pPr>
        <w:pStyle w:val="Default"/>
        <w:jc w:val="both"/>
        <w:rPr>
          <w:color w:val="auto"/>
        </w:rPr>
      </w:pPr>
      <w:r w:rsidRPr="00C55940">
        <w:rPr>
          <w:color w:val="auto"/>
        </w:rPr>
        <w:t>Grupi Punues</w:t>
      </w:r>
      <w:r w:rsidR="00161310" w:rsidRPr="00C55940">
        <w:rPr>
          <w:color w:val="auto"/>
        </w:rPr>
        <w:t xml:space="preserve"> për hartimin e Koncept Dokumentit</w:t>
      </w:r>
      <w:r w:rsidR="009A3DC9" w:rsidRPr="00C55940">
        <w:rPr>
          <w:color w:val="auto"/>
        </w:rPr>
        <w:t xml:space="preserve"> p</w:t>
      </w:r>
      <w:r w:rsidR="00207555" w:rsidRPr="00C55940">
        <w:rPr>
          <w:color w:val="auto"/>
        </w:rPr>
        <w:t>ë</w:t>
      </w:r>
      <w:r w:rsidR="009A3DC9" w:rsidRPr="00C55940">
        <w:rPr>
          <w:color w:val="auto"/>
        </w:rPr>
        <w:t>r Trajtimin e Kuadrit Ligjor n</w:t>
      </w:r>
      <w:r w:rsidR="00207555" w:rsidRPr="00C55940">
        <w:rPr>
          <w:color w:val="auto"/>
        </w:rPr>
        <w:t>ë</w:t>
      </w:r>
      <w:r w:rsidR="009A3DC9" w:rsidRPr="00C55940">
        <w:rPr>
          <w:color w:val="auto"/>
        </w:rPr>
        <w:t xml:space="preserve"> fushën e Tatimeve </w:t>
      </w:r>
      <w:r w:rsidRPr="00C55940">
        <w:rPr>
          <w:color w:val="auto"/>
        </w:rPr>
        <w:t>dhe Procedurave n</w:t>
      </w:r>
      <w:r w:rsidR="00207555" w:rsidRPr="00C55940">
        <w:rPr>
          <w:color w:val="auto"/>
        </w:rPr>
        <w:t>ë</w:t>
      </w:r>
      <w:r w:rsidR="008D672D" w:rsidRPr="00C55940">
        <w:rPr>
          <w:color w:val="auto"/>
        </w:rPr>
        <w:t xml:space="preserve"> </w:t>
      </w:r>
      <w:r w:rsidRPr="00C55940">
        <w:rPr>
          <w:color w:val="auto"/>
        </w:rPr>
        <w:t>Fushëveprimin e ATK-s</w:t>
      </w:r>
      <w:r w:rsidR="00207555" w:rsidRPr="00C55940">
        <w:rPr>
          <w:color w:val="auto"/>
        </w:rPr>
        <w:t>ë</w:t>
      </w:r>
      <w:r w:rsidR="008D672D" w:rsidRPr="00C55940">
        <w:rPr>
          <w:color w:val="auto"/>
        </w:rPr>
        <w:t>,</w:t>
      </w:r>
      <w:r w:rsidRPr="00C55940">
        <w:rPr>
          <w:color w:val="auto"/>
        </w:rPr>
        <w:t xml:space="preserve"> </w:t>
      </w:r>
      <w:r w:rsidR="00161310" w:rsidRPr="00C55940">
        <w:rPr>
          <w:color w:val="auto"/>
        </w:rPr>
        <w:t>kryesisht është fokusuar në realizimin e qëllimit të përcaktuar me Vendim t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M</w:t>
      </w:r>
      <w:r w:rsidR="008D672D" w:rsidRPr="00C55940">
        <w:rPr>
          <w:color w:val="auto"/>
        </w:rPr>
        <w:t>inistris</w:t>
      </w:r>
      <w:r w:rsidR="00207555" w:rsidRPr="00C55940">
        <w:rPr>
          <w:color w:val="auto"/>
        </w:rPr>
        <w:t>ë</w:t>
      </w:r>
      <w:r w:rsidR="008D672D" w:rsidRPr="00C55940">
        <w:rPr>
          <w:color w:val="auto"/>
        </w:rPr>
        <w:t xml:space="preserve"> s</w:t>
      </w:r>
      <w:r w:rsidR="00207555" w:rsidRPr="00C55940">
        <w:rPr>
          <w:color w:val="auto"/>
        </w:rPr>
        <w:t>ë</w:t>
      </w:r>
      <w:r w:rsidR="008D672D" w:rsidRPr="00C55940">
        <w:rPr>
          <w:color w:val="auto"/>
        </w:rPr>
        <w:t xml:space="preserve"> Financave</w:t>
      </w:r>
      <w:r w:rsidR="00161310" w:rsidRPr="00C55940">
        <w:rPr>
          <w:color w:val="auto"/>
        </w:rPr>
        <w:t>, përmes identifikimit të nevojës së rishikimit t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</w:t>
      </w:r>
      <w:proofErr w:type="spellStart"/>
      <w:r w:rsidR="009A3DC9" w:rsidRPr="00C55940">
        <w:rPr>
          <w:color w:val="auto"/>
        </w:rPr>
        <w:t>t</w:t>
      </w:r>
      <w:r w:rsidR="00207555" w:rsidRPr="00C55940">
        <w:rPr>
          <w:color w:val="auto"/>
        </w:rPr>
        <w:t>ë</w:t>
      </w:r>
      <w:proofErr w:type="spellEnd"/>
      <w:r w:rsidR="009A3DC9" w:rsidRPr="00C55940">
        <w:rPr>
          <w:color w:val="auto"/>
        </w:rPr>
        <w:t xml:space="preserve"> gjitha ligjeve sipas llojit t</w:t>
      </w:r>
      <w:r w:rsidR="00207555" w:rsidRPr="00C55940">
        <w:rPr>
          <w:color w:val="auto"/>
        </w:rPr>
        <w:t>ë</w:t>
      </w:r>
      <w:r w:rsidR="009A3DC9" w:rsidRPr="00C55940">
        <w:rPr>
          <w:color w:val="auto"/>
        </w:rPr>
        <w:t xml:space="preserve"> tat</w:t>
      </w:r>
      <w:r w:rsidRPr="00C55940">
        <w:rPr>
          <w:color w:val="auto"/>
        </w:rPr>
        <w:t>imeve dhe Ligjit p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>r Administratën Tatimore dhe P</w:t>
      </w:r>
      <w:r w:rsidR="009A3DC9" w:rsidRPr="00C55940">
        <w:rPr>
          <w:color w:val="auto"/>
        </w:rPr>
        <w:t>rocedura</w:t>
      </w:r>
      <w:r w:rsidR="008D672D" w:rsidRPr="00C55940">
        <w:rPr>
          <w:color w:val="auto"/>
        </w:rPr>
        <w:t>t</w:t>
      </w:r>
      <w:r w:rsidR="009A3DC9" w:rsidRPr="00C55940">
        <w:rPr>
          <w:color w:val="auto"/>
        </w:rPr>
        <w:t>.</w:t>
      </w:r>
    </w:p>
    <w:p w:rsidR="00161310" w:rsidRPr="00C55940" w:rsidRDefault="009A3DC9" w:rsidP="008D672D">
      <w:pPr>
        <w:pStyle w:val="Default"/>
        <w:jc w:val="both"/>
        <w:rPr>
          <w:b/>
          <w:bCs/>
          <w:color w:val="auto"/>
        </w:rPr>
      </w:pPr>
      <w:r w:rsidRPr="00C55940">
        <w:rPr>
          <w:b/>
          <w:bCs/>
          <w:color w:val="auto"/>
        </w:rPr>
        <w:t xml:space="preserve"> </w:t>
      </w:r>
    </w:p>
    <w:p w:rsidR="00161310" w:rsidRPr="00C55940" w:rsidRDefault="00161310" w:rsidP="008D672D">
      <w:pPr>
        <w:pStyle w:val="Default"/>
        <w:jc w:val="both"/>
        <w:rPr>
          <w:color w:val="auto"/>
        </w:rPr>
      </w:pPr>
      <w:r w:rsidRPr="006C2CC8">
        <w:rPr>
          <w:color w:val="auto"/>
        </w:rPr>
        <w:t xml:space="preserve">Në aspektin e përputhshmërisë </w:t>
      </w:r>
      <w:r w:rsidRPr="00C55940">
        <w:rPr>
          <w:color w:val="auto"/>
        </w:rPr>
        <w:t>s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procedurave tatimore me ligjet tjera</w:t>
      </w:r>
      <w:r w:rsidR="008D672D" w:rsidRPr="00C55940">
        <w:rPr>
          <w:color w:val="auto"/>
        </w:rPr>
        <w:t>,</w:t>
      </w:r>
      <w:r w:rsidRPr="00C55940">
        <w:rPr>
          <w:color w:val="auto"/>
        </w:rPr>
        <w:t xml:space="preserve"> janë konstatuar kryesisht mospërputhjet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afatet q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bien ndesh Ligjet mes tyre, si e drejta e deklarimit, rimbursimit dhe korrigjimit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deklaratave</w:t>
      </w:r>
      <w:r w:rsidR="000345C6" w:rsidRPr="00C55940">
        <w:rPr>
          <w:color w:val="auto"/>
        </w:rPr>
        <w:t>, q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paraqet konflikt mes tyre, etj. </w:t>
      </w:r>
    </w:p>
    <w:p w:rsidR="00161310" w:rsidRPr="00C55940" w:rsidRDefault="00161310" w:rsidP="008D672D">
      <w:pPr>
        <w:pStyle w:val="Default"/>
        <w:jc w:val="both"/>
        <w:rPr>
          <w:b/>
          <w:bCs/>
          <w:color w:val="auto"/>
        </w:rPr>
      </w:pPr>
    </w:p>
    <w:p w:rsidR="00161310" w:rsidRPr="00C55940" w:rsidRDefault="00161310" w:rsidP="008D672D">
      <w:pPr>
        <w:pStyle w:val="Default"/>
        <w:jc w:val="both"/>
        <w:rPr>
          <w:color w:val="auto"/>
        </w:rPr>
      </w:pPr>
      <w:r w:rsidRPr="006C2CC8">
        <w:rPr>
          <w:color w:val="auto"/>
        </w:rPr>
        <w:t>N</w:t>
      </w:r>
      <w:r w:rsidR="00B07150" w:rsidRPr="006C2CC8">
        <w:rPr>
          <w:color w:val="auto"/>
        </w:rPr>
        <w:t>ë</w:t>
      </w:r>
      <w:r w:rsidRPr="006C2CC8">
        <w:rPr>
          <w:color w:val="auto"/>
        </w:rPr>
        <w:t xml:space="preserve"> aspektin përmbajt</w:t>
      </w:r>
      <w:r w:rsidR="000345C6" w:rsidRPr="006C2CC8">
        <w:rPr>
          <w:color w:val="auto"/>
        </w:rPr>
        <w:t>ë</w:t>
      </w:r>
      <w:r w:rsidRPr="006C2CC8">
        <w:rPr>
          <w:color w:val="auto"/>
        </w:rPr>
        <w:t>sor</w:t>
      </w:r>
      <w:r w:rsidRPr="00C55940">
        <w:rPr>
          <w:color w:val="auto"/>
        </w:rPr>
        <w:t>, shumica e çështjeve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trajtuara kan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qenë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identifikuara paraprakisht gjat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zbatimit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procedurave nga tatimpaguesit dhe pengesat q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kanë hasur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praktik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>. Disa mangësi janë hasur edhe nga Institucionet jashtë ATK-s</w:t>
      </w:r>
      <w:r w:rsidR="00207555" w:rsidRPr="00C55940">
        <w:rPr>
          <w:color w:val="auto"/>
        </w:rPr>
        <w:t>ë</w:t>
      </w:r>
      <w:r w:rsidR="000345C6" w:rsidRPr="00C55940">
        <w:rPr>
          <w:color w:val="auto"/>
        </w:rPr>
        <w:t>,</w:t>
      </w:r>
      <w:r w:rsidRPr="00C55940">
        <w:rPr>
          <w:color w:val="auto"/>
        </w:rPr>
        <w:t xml:space="preserve">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cilat janë marr me trajtimin e ankesave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tatimpaguesve, siç janë Bordi i Pavarur per Rishqyrtimin e Ankesave dhe Gjykata themelore – Divizioni Fiskal. Gjithashtu</w:t>
      </w:r>
      <w:r w:rsidR="000345C6" w:rsidRPr="00C55940">
        <w:rPr>
          <w:color w:val="auto"/>
        </w:rPr>
        <w:t>,</w:t>
      </w:r>
      <w:r w:rsidRPr="00C55940">
        <w:rPr>
          <w:color w:val="auto"/>
        </w:rPr>
        <w:t xml:space="preserve"> vështirësi janë paraqitur edhe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zbatimin e kërkesave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ATK-së per Institucionet tjera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zbatimit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ligjit, sikur janë Policia e Kosovës,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rastet e ndalimit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tatimpaguesve. </w:t>
      </w:r>
    </w:p>
    <w:p w:rsidR="00161310" w:rsidRPr="00C55940" w:rsidRDefault="001B4778" w:rsidP="008D672D">
      <w:pPr>
        <w:pStyle w:val="Default"/>
        <w:jc w:val="both"/>
        <w:rPr>
          <w:color w:val="auto"/>
        </w:rPr>
      </w:pPr>
      <w:r w:rsidRPr="00C55940">
        <w:rPr>
          <w:color w:val="auto"/>
        </w:rPr>
        <w:t>Grupi punues</w:t>
      </w:r>
      <w:r w:rsidR="009A3DC9" w:rsidRPr="00C55940">
        <w:rPr>
          <w:color w:val="auto"/>
        </w:rPr>
        <w:t xml:space="preserve"> p</w:t>
      </w:r>
      <w:r w:rsidR="00207555" w:rsidRPr="00C55940">
        <w:rPr>
          <w:color w:val="auto"/>
        </w:rPr>
        <w:t>ë</w:t>
      </w:r>
      <w:r w:rsidR="009A3DC9" w:rsidRPr="00C55940">
        <w:rPr>
          <w:color w:val="auto"/>
        </w:rPr>
        <w:t xml:space="preserve">r hartimin e koncept dokumentit ka </w:t>
      </w:r>
      <w:r w:rsidR="00161310" w:rsidRPr="00C55940">
        <w:rPr>
          <w:color w:val="auto"/>
        </w:rPr>
        <w:t>adresua</w:t>
      </w:r>
      <w:r w:rsidR="00B07150" w:rsidRPr="00C55940">
        <w:rPr>
          <w:color w:val="auto"/>
        </w:rPr>
        <w:t>r</w:t>
      </w:r>
      <w:r w:rsidR="00161310" w:rsidRPr="00C55940">
        <w:rPr>
          <w:color w:val="auto"/>
        </w:rPr>
        <w:t xml:space="preserve"> këto çështje</w:t>
      </w:r>
      <w:r w:rsidR="009A3DC9" w:rsidRPr="00C55940">
        <w:rPr>
          <w:color w:val="auto"/>
        </w:rPr>
        <w:t xml:space="preserve"> dhe çështje tjera</w:t>
      </w:r>
      <w:r w:rsidR="00161310" w:rsidRPr="00C55940">
        <w:rPr>
          <w:color w:val="auto"/>
        </w:rPr>
        <w:t>, si n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piken gjasht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(6) – Elementet kryesore t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politik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>s s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propozuar. </w:t>
      </w:r>
    </w:p>
    <w:p w:rsidR="00161310" w:rsidRPr="00F420E1" w:rsidRDefault="00161310" w:rsidP="008D672D">
      <w:pPr>
        <w:pStyle w:val="Default"/>
        <w:jc w:val="both"/>
        <w:rPr>
          <w:b/>
          <w:bCs/>
          <w:color w:val="002060"/>
        </w:rPr>
      </w:pPr>
    </w:p>
    <w:p w:rsidR="00C010E0" w:rsidRPr="00F420E1" w:rsidRDefault="00C010E0" w:rsidP="008D672D">
      <w:pPr>
        <w:pStyle w:val="Default"/>
        <w:jc w:val="both"/>
        <w:rPr>
          <w:b/>
          <w:bCs/>
          <w:color w:val="002060"/>
        </w:rPr>
      </w:pPr>
    </w:p>
    <w:p w:rsidR="00161310" w:rsidRPr="0089523B" w:rsidRDefault="00161310" w:rsidP="0089523B">
      <w:pPr>
        <w:pStyle w:val="Heading1"/>
        <w:numPr>
          <w:ilvl w:val="0"/>
          <w:numId w:val="14"/>
        </w:numPr>
        <w:rPr>
          <w:rFonts w:ascii="Times New Roman" w:hAnsi="Times New Roman" w:cs="Times New Roman"/>
          <w:b/>
          <w:color w:val="000099"/>
          <w:sz w:val="28"/>
          <w:szCs w:val="24"/>
        </w:rPr>
      </w:pPr>
      <w:bookmarkStart w:id="2" w:name="_Toc504390424"/>
      <w:r w:rsidRPr="0089523B">
        <w:rPr>
          <w:rFonts w:ascii="Times New Roman" w:hAnsi="Times New Roman" w:cs="Times New Roman"/>
          <w:b/>
          <w:color w:val="000099"/>
          <w:sz w:val="28"/>
          <w:szCs w:val="24"/>
        </w:rPr>
        <w:t>Synimet dhe Objektivat</w:t>
      </w:r>
      <w:bookmarkEnd w:id="2"/>
    </w:p>
    <w:p w:rsidR="00161310" w:rsidRPr="00C55940" w:rsidRDefault="00161310" w:rsidP="008D672D">
      <w:pPr>
        <w:pStyle w:val="Default"/>
        <w:jc w:val="both"/>
        <w:rPr>
          <w:color w:val="auto"/>
        </w:rPr>
      </w:pPr>
    </w:p>
    <w:p w:rsidR="00161310" w:rsidRPr="00C55940" w:rsidRDefault="00161310" w:rsidP="008D672D">
      <w:pPr>
        <w:pStyle w:val="Default"/>
        <w:jc w:val="both"/>
        <w:rPr>
          <w:color w:val="auto"/>
        </w:rPr>
      </w:pPr>
      <w:r w:rsidRPr="00C55940">
        <w:rPr>
          <w:color w:val="auto"/>
        </w:rPr>
        <w:t>Programi i Qeverisë së R</w:t>
      </w:r>
      <w:r w:rsidR="001A58AA" w:rsidRPr="00C55940">
        <w:rPr>
          <w:color w:val="auto"/>
        </w:rPr>
        <w:t>epublikës së Kosovës</w:t>
      </w:r>
      <w:r w:rsidR="00243F34" w:rsidRPr="00C55940">
        <w:rPr>
          <w:color w:val="auto"/>
        </w:rPr>
        <w:t xml:space="preserve"> p</w:t>
      </w:r>
      <w:r w:rsidR="00207555" w:rsidRPr="00C55940">
        <w:rPr>
          <w:color w:val="auto"/>
        </w:rPr>
        <w:t>ë</w:t>
      </w:r>
      <w:r w:rsidR="00243F34" w:rsidRPr="00C55940">
        <w:rPr>
          <w:color w:val="auto"/>
        </w:rPr>
        <w:t>r periudhën 2017-2021</w:t>
      </w:r>
      <w:r w:rsidR="000345C6" w:rsidRPr="00C55940">
        <w:rPr>
          <w:color w:val="auto"/>
        </w:rPr>
        <w:t>,</w:t>
      </w:r>
      <w:r w:rsidR="00311452" w:rsidRPr="00C55940">
        <w:rPr>
          <w:color w:val="auto"/>
        </w:rPr>
        <w:t xml:space="preserve"> si dhe Strategjia Kombëtare e Republikës s</w:t>
      </w:r>
      <w:r w:rsidR="00207555" w:rsidRPr="00C55940">
        <w:rPr>
          <w:color w:val="auto"/>
        </w:rPr>
        <w:t>ë</w:t>
      </w:r>
      <w:r w:rsidR="00311452" w:rsidRPr="00C55940">
        <w:rPr>
          <w:color w:val="auto"/>
        </w:rPr>
        <w:t xml:space="preserve"> Kosovës p</w:t>
      </w:r>
      <w:r w:rsidR="00207555" w:rsidRPr="00C55940">
        <w:rPr>
          <w:color w:val="auto"/>
        </w:rPr>
        <w:t>ë</w:t>
      </w:r>
      <w:r w:rsidR="00311452" w:rsidRPr="00C55940">
        <w:rPr>
          <w:color w:val="auto"/>
        </w:rPr>
        <w:t>r Parandalimin dhe Luftimin e Ekonomisë Joformale, Pastrimit t</w:t>
      </w:r>
      <w:r w:rsidR="00207555" w:rsidRPr="00C55940">
        <w:rPr>
          <w:color w:val="auto"/>
        </w:rPr>
        <w:t>ë</w:t>
      </w:r>
      <w:r w:rsidR="00311452" w:rsidRPr="00C55940">
        <w:rPr>
          <w:color w:val="auto"/>
        </w:rPr>
        <w:t xml:space="preserve"> Parave, Financimit t</w:t>
      </w:r>
      <w:r w:rsidR="00207555" w:rsidRPr="00C55940">
        <w:rPr>
          <w:color w:val="auto"/>
        </w:rPr>
        <w:t>ë</w:t>
      </w:r>
      <w:r w:rsidR="00311452" w:rsidRPr="00C55940">
        <w:rPr>
          <w:color w:val="auto"/>
        </w:rPr>
        <w:t xml:space="preserve"> Terrorizmit dhe Krimeve Financiare 2014-2018, janë  dokumentet baz</w:t>
      </w:r>
      <w:r w:rsidR="00207555" w:rsidRPr="00C55940">
        <w:rPr>
          <w:color w:val="auto"/>
        </w:rPr>
        <w:t>ë</w:t>
      </w:r>
      <w:r w:rsidR="000345C6" w:rsidRPr="00C55940">
        <w:rPr>
          <w:color w:val="auto"/>
        </w:rPr>
        <w:t>,</w:t>
      </w:r>
      <w:r w:rsidR="00311452" w:rsidRPr="00C55940">
        <w:rPr>
          <w:color w:val="auto"/>
        </w:rPr>
        <w:t xml:space="preserve"> n</w:t>
      </w:r>
      <w:r w:rsidR="00207555" w:rsidRPr="00C55940">
        <w:rPr>
          <w:color w:val="auto"/>
        </w:rPr>
        <w:t>ë</w:t>
      </w:r>
      <w:r w:rsidR="00311452" w:rsidRPr="00C55940">
        <w:rPr>
          <w:color w:val="auto"/>
        </w:rPr>
        <w:t xml:space="preserve"> t</w:t>
      </w:r>
      <w:r w:rsidR="00207555" w:rsidRPr="00C55940">
        <w:rPr>
          <w:color w:val="auto"/>
        </w:rPr>
        <w:t>ë</w:t>
      </w:r>
      <w:r w:rsidR="00311452" w:rsidRPr="00C55940">
        <w:rPr>
          <w:color w:val="auto"/>
        </w:rPr>
        <w:t xml:space="preserve"> cilat</w:t>
      </w:r>
      <w:r w:rsidRPr="00C55940">
        <w:rPr>
          <w:color w:val="auto"/>
        </w:rPr>
        <w:t xml:space="preserve"> është mbështetur edhe Vendimi i M</w:t>
      </w:r>
      <w:r w:rsidR="000345C6" w:rsidRPr="00C55940">
        <w:rPr>
          <w:color w:val="auto"/>
        </w:rPr>
        <w:t>inistris</w:t>
      </w:r>
      <w:r w:rsidR="00207555" w:rsidRPr="00C55940">
        <w:rPr>
          <w:color w:val="auto"/>
        </w:rPr>
        <w:t>ë</w:t>
      </w:r>
      <w:r w:rsidR="000345C6" w:rsidRPr="00C55940">
        <w:rPr>
          <w:color w:val="auto"/>
        </w:rPr>
        <w:t xml:space="preserve"> s</w:t>
      </w:r>
      <w:r w:rsidR="00207555" w:rsidRPr="00C55940">
        <w:rPr>
          <w:color w:val="auto"/>
        </w:rPr>
        <w:t>ë</w:t>
      </w:r>
      <w:r w:rsidR="000345C6" w:rsidRPr="00C55940">
        <w:rPr>
          <w:color w:val="auto"/>
        </w:rPr>
        <w:t xml:space="preserve"> Financave (M</w:t>
      </w:r>
      <w:r w:rsidRPr="00C55940">
        <w:rPr>
          <w:color w:val="auto"/>
        </w:rPr>
        <w:t>F</w:t>
      </w:r>
      <w:r w:rsidR="000345C6" w:rsidRPr="00C55940">
        <w:rPr>
          <w:color w:val="auto"/>
        </w:rPr>
        <w:t>)</w:t>
      </w:r>
      <w:r w:rsidRPr="00C55940">
        <w:rPr>
          <w:color w:val="auto"/>
        </w:rPr>
        <w:t xml:space="preserve"> </w:t>
      </w:r>
      <w:r w:rsidRPr="006C2CC8">
        <w:rPr>
          <w:color w:val="auto"/>
        </w:rPr>
        <w:t>p</w:t>
      </w:r>
      <w:r w:rsidR="00207555" w:rsidRPr="006C2CC8">
        <w:rPr>
          <w:color w:val="auto"/>
        </w:rPr>
        <w:t>ë</w:t>
      </w:r>
      <w:r w:rsidRPr="006C2CC8">
        <w:rPr>
          <w:color w:val="auto"/>
        </w:rPr>
        <w:t xml:space="preserve">r themelimin e </w:t>
      </w:r>
      <w:r w:rsidR="001A58AA" w:rsidRPr="006C2CC8">
        <w:rPr>
          <w:color w:val="auto"/>
        </w:rPr>
        <w:t xml:space="preserve"> Ekipit Përgjegjës</w:t>
      </w:r>
      <w:r w:rsidRPr="006C2CC8">
        <w:rPr>
          <w:color w:val="auto"/>
        </w:rPr>
        <w:t xml:space="preserve"> p</w:t>
      </w:r>
      <w:r w:rsidR="00207555" w:rsidRPr="006C2CC8">
        <w:rPr>
          <w:color w:val="auto"/>
        </w:rPr>
        <w:t>ë</w:t>
      </w:r>
      <w:r w:rsidRPr="006C2CC8">
        <w:rPr>
          <w:color w:val="auto"/>
        </w:rPr>
        <w:t xml:space="preserve">r hartimin e këtij Koncept dokumenti. </w:t>
      </w:r>
      <w:r w:rsidRPr="006C2CC8">
        <w:rPr>
          <w:bCs/>
          <w:color w:val="auto"/>
        </w:rPr>
        <w:t xml:space="preserve">Zhvillimi ekonomik, </w:t>
      </w:r>
      <w:r w:rsidR="00243F34" w:rsidRPr="006C2CC8">
        <w:rPr>
          <w:bCs/>
          <w:color w:val="auto"/>
        </w:rPr>
        <w:t>dhe punësimi si objektiv 3 i MF</w:t>
      </w:r>
      <w:r w:rsidR="000345C6" w:rsidRPr="006C2CC8">
        <w:rPr>
          <w:bCs/>
          <w:color w:val="auto"/>
        </w:rPr>
        <w:t>,</w:t>
      </w:r>
      <w:r w:rsidRPr="006C2CC8">
        <w:rPr>
          <w:bCs/>
          <w:color w:val="auto"/>
        </w:rPr>
        <w:t xml:space="preserve"> </w:t>
      </w:r>
      <w:r w:rsidRPr="006C2CC8">
        <w:rPr>
          <w:color w:val="auto"/>
        </w:rPr>
        <w:t>do të bazohen në iniciativën private, konkurrencën dhe tregun e hapur, si forcat kryesore që sigurojnë prosperitet ekonomik. Q</w:t>
      </w:r>
      <w:r w:rsidR="00207555" w:rsidRPr="006C2CC8">
        <w:rPr>
          <w:color w:val="auto"/>
        </w:rPr>
        <w:t>ë</w:t>
      </w:r>
      <w:r w:rsidRPr="006C2CC8">
        <w:rPr>
          <w:color w:val="auto"/>
        </w:rPr>
        <w:t xml:space="preserve"> t</w:t>
      </w:r>
      <w:r w:rsidR="00207555" w:rsidRPr="006C2CC8">
        <w:rPr>
          <w:color w:val="auto"/>
        </w:rPr>
        <w:t>ë</w:t>
      </w:r>
      <w:r w:rsidRPr="00C55940">
        <w:rPr>
          <w:color w:val="auto"/>
        </w:rPr>
        <w:t xml:space="preserve"> arrihet ky synim i Qeveris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i shprehur me programin e saj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punës </w:t>
      </w:r>
      <w:r w:rsidR="00243F34" w:rsidRPr="00C55940">
        <w:rPr>
          <w:color w:val="auto"/>
        </w:rPr>
        <w:t>p</w:t>
      </w:r>
      <w:r w:rsidR="00207555" w:rsidRPr="00C55940">
        <w:rPr>
          <w:color w:val="auto"/>
        </w:rPr>
        <w:t>ë</w:t>
      </w:r>
      <w:r w:rsidR="00243F34" w:rsidRPr="00C55940">
        <w:rPr>
          <w:color w:val="auto"/>
        </w:rPr>
        <w:t xml:space="preserve">r periudhën 2017-2021, </w:t>
      </w:r>
      <w:r w:rsidRPr="00C55940">
        <w:rPr>
          <w:color w:val="auto"/>
        </w:rPr>
        <w:t>është e domosdoshme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përmirësohet edhe legjislacioni q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krijon mundësi p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>r zhvillimin m</w:t>
      </w:r>
      <w:r w:rsidR="00207555" w:rsidRPr="00C55940">
        <w:rPr>
          <w:color w:val="auto"/>
        </w:rPr>
        <w:t>ë</w:t>
      </w:r>
      <w:r w:rsidR="000345C6" w:rsidRPr="00C55940">
        <w:rPr>
          <w:color w:val="auto"/>
        </w:rPr>
        <w:t xml:space="preserve">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mir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</w:t>
      </w:r>
      <w:proofErr w:type="spellStart"/>
      <w:r w:rsidRPr="00C55940">
        <w:rPr>
          <w:color w:val="auto"/>
        </w:rPr>
        <w:t>t</w:t>
      </w:r>
      <w:r w:rsidR="00207555" w:rsidRPr="00C55940">
        <w:rPr>
          <w:color w:val="auto"/>
        </w:rPr>
        <w:t>ë</w:t>
      </w:r>
      <w:proofErr w:type="spellEnd"/>
      <w:r w:rsidRPr="00C55940">
        <w:rPr>
          <w:color w:val="auto"/>
        </w:rPr>
        <w:t xml:space="preserve"> b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>rit biznes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Kosov</w:t>
      </w:r>
      <w:r w:rsidR="00207555" w:rsidRPr="00C55940">
        <w:rPr>
          <w:color w:val="auto"/>
        </w:rPr>
        <w:t>ë</w:t>
      </w:r>
      <w:r w:rsidR="000345C6" w:rsidRPr="00C55940">
        <w:rPr>
          <w:color w:val="auto"/>
        </w:rPr>
        <w:t>,</w:t>
      </w:r>
      <w:r w:rsidR="00243F34" w:rsidRPr="00C55940">
        <w:rPr>
          <w:color w:val="auto"/>
        </w:rPr>
        <w:t xml:space="preserve"> përmes rritjes s</w:t>
      </w:r>
      <w:r w:rsidR="00207555" w:rsidRPr="00C55940">
        <w:rPr>
          <w:color w:val="auto"/>
        </w:rPr>
        <w:t>ë</w:t>
      </w:r>
      <w:r w:rsidR="00243F34" w:rsidRPr="00C55940">
        <w:rPr>
          <w:color w:val="auto"/>
        </w:rPr>
        <w:t xml:space="preserve"> efikasitetit t</w:t>
      </w:r>
      <w:r w:rsidR="00207555" w:rsidRPr="00C55940">
        <w:rPr>
          <w:color w:val="auto"/>
        </w:rPr>
        <w:t>ë</w:t>
      </w:r>
      <w:r w:rsidR="00243F34" w:rsidRPr="00C55940">
        <w:rPr>
          <w:color w:val="auto"/>
        </w:rPr>
        <w:t xml:space="preserve"> ofrimit t</w:t>
      </w:r>
      <w:r w:rsidR="00207555" w:rsidRPr="00C55940">
        <w:rPr>
          <w:color w:val="auto"/>
        </w:rPr>
        <w:t>ë</w:t>
      </w:r>
      <w:r w:rsidR="00243F34" w:rsidRPr="00C55940">
        <w:rPr>
          <w:color w:val="auto"/>
        </w:rPr>
        <w:t xml:space="preserve"> shërbimeve, sistemit t</w:t>
      </w:r>
      <w:r w:rsidR="00207555" w:rsidRPr="00C55940">
        <w:rPr>
          <w:color w:val="auto"/>
        </w:rPr>
        <w:t>ë</w:t>
      </w:r>
      <w:r w:rsidR="00243F34" w:rsidRPr="00C55940">
        <w:rPr>
          <w:color w:val="auto"/>
        </w:rPr>
        <w:t xml:space="preserve"> inspektimeve shtetërore dhe zvogëlimit t</w:t>
      </w:r>
      <w:r w:rsidR="00207555" w:rsidRPr="00C55940">
        <w:rPr>
          <w:color w:val="auto"/>
        </w:rPr>
        <w:t>ë</w:t>
      </w:r>
      <w:r w:rsidR="00243F34" w:rsidRPr="00C55940">
        <w:rPr>
          <w:color w:val="auto"/>
        </w:rPr>
        <w:t xml:space="preserve"> pengesave administrative p</w:t>
      </w:r>
      <w:r w:rsidR="00207555" w:rsidRPr="00C55940">
        <w:rPr>
          <w:color w:val="auto"/>
        </w:rPr>
        <w:t>ë</w:t>
      </w:r>
      <w:r w:rsidR="00243F34" w:rsidRPr="00C55940">
        <w:rPr>
          <w:color w:val="auto"/>
        </w:rPr>
        <w:t>r bizneset.</w:t>
      </w:r>
      <w:r w:rsidRPr="00C55940">
        <w:rPr>
          <w:color w:val="auto"/>
        </w:rPr>
        <w:t xml:space="preserve"> </w:t>
      </w:r>
    </w:p>
    <w:p w:rsidR="00161310" w:rsidRPr="00C55940" w:rsidRDefault="00161310" w:rsidP="008D672D">
      <w:pPr>
        <w:pStyle w:val="Default"/>
        <w:jc w:val="both"/>
        <w:rPr>
          <w:color w:val="auto"/>
        </w:rPr>
      </w:pPr>
    </w:p>
    <w:p w:rsidR="00243F34" w:rsidRPr="00C55940" w:rsidRDefault="00311452" w:rsidP="008D672D">
      <w:pPr>
        <w:pStyle w:val="Default"/>
        <w:jc w:val="both"/>
        <w:rPr>
          <w:color w:val="auto"/>
        </w:rPr>
      </w:pPr>
      <w:r w:rsidRPr="00C55940">
        <w:rPr>
          <w:color w:val="auto"/>
        </w:rPr>
        <w:t>Me qellim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rritjes s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mirëqenies s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qytetarëve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Republikës s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Kosovës</w:t>
      </w:r>
      <w:r w:rsidR="000345C6" w:rsidRPr="00C55940">
        <w:rPr>
          <w:color w:val="auto"/>
        </w:rPr>
        <w:t>,</w:t>
      </w:r>
      <w:r w:rsidRPr="00C55940">
        <w:rPr>
          <w:color w:val="auto"/>
        </w:rPr>
        <w:t xml:space="preserve"> </w:t>
      </w:r>
      <w:r w:rsidR="00243F34" w:rsidRPr="00C55940">
        <w:rPr>
          <w:color w:val="auto"/>
        </w:rPr>
        <w:t>Shtylla II e Programit t</w:t>
      </w:r>
      <w:r w:rsidR="00207555" w:rsidRPr="00C55940">
        <w:rPr>
          <w:color w:val="auto"/>
        </w:rPr>
        <w:t>ë</w:t>
      </w:r>
      <w:r w:rsidR="00243F34" w:rsidRPr="00C55940">
        <w:rPr>
          <w:color w:val="auto"/>
        </w:rPr>
        <w:t xml:space="preserve"> Qeverisë, ka përcaktuar si prioritete n</w:t>
      </w:r>
      <w:r w:rsidR="00207555" w:rsidRPr="00C55940">
        <w:rPr>
          <w:color w:val="auto"/>
        </w:rPr>
        <w:t>ë</w:t>
      </w:r>
      <w:r w:rsidR="00243F34" w:rsidRPr="00C55940">
        <w:rPr>
          <w:color w:val="auto"/>
        </w:rPr>
        <w:t xml:space="preserve"> periudhën 2017-2021: </w:t>
      </w:r>
    </w:p>
    <w:p w:rsidR="00243F34" w:rsidRPr="00C55940" w:rsidRDefault="00243F34" w:rsidP="000345C6">
      <w:pPr>
        <w:pStyle w:val="Default"/>
        <w:numPr>
          <w:ilvl w:val="0"/>
          <w:numId w:val="15"/>
        </w:numPr>
        <w:spacing w:after="60"/>
        <w:jc w:val="both"/>
        <w:rPr>
          <w:color w:val="auto"/>
        </w:rPr>
      </w:pPr>
      <w:r w:rsidRPr="00C55940">
        <w:rPr>
          <w:color w:val="auto"/>
        </w:rPr>
        <w:t>Zhvillimi</w:t>
      </w:r>
      <w:r w:rsidR="00311452" w:rsidRPr="00C55940">
        <w:rPr>
          <w:color w:val="auto"/>
        </w:rPr>
        <w:t>n</w:t>
      </w:r>
      <w:r w:rsidRPr="00C55940">
        <w:rPr>
          <w:color w:val="auto"/>
        </w:rPr>
        <w:t xml:space="preserve"> ekonomik, dhe</w:t>
      </w:r>
    </w:p>
    <w:p w:rsidR="00243F34" w:rsidRPr="00C55940" w:rsidRDefault="00243F34" w:rsidP="000345C6">
      <w:pPr>
        <w:pStyle w:val="Default"/>
        <w:numPr>
          <w:ilvl w:val="0"/>
          <w:numId w:val="15"/>
        </w:numPr>
        <w:spacing w:after="60"/>
        <w:jc w:val="both"/>
        <w:rPr>
          <w:color w:val="auto"/>
        </w:rPr>
      </w:pPr>
      <w:r w:rsidRPr="00C55940">
        <w:rPr>
          <w:color w:val="auto"/>
        </w:rPr>
        <w:t>Punësimi</w:t>
      </w:r>
      <w:r w:rsidR="00311452" w:rsidRPr="00C55940">
        <w:rPr>
          <w:color w:val="auto"/>
        </w:rPr>
        <w:t>n</w:t>
      </w:r>
      <w:r w:rsidR="000345C6" w:rsidRPr="00C55940">
        <w:rPr>
          <w:color w:val="auto"/>
        </w:rPr>
        <w:t>.</w:t>
      </w:r>
      <w:r w:rsidRPr="00C55940">
        <w:rPr>
          <w:color w:val="auto"/>
        </w:rPr>
        <w:t xml:space="preserve"> </w:t>
      </w:r>
    </w:p>
    <w:p w:rsidR="00243F34" w:rsidRPr="00C55940" w:rsidRDefault="00243F34" w:rsidP="008D672D">
      <w:pPr>
        <w:pStyle w:val="Default"/>
        <w:jc w:val="both"/>
        <w:rPr>
          <w:color w:val="auto"/>
        </w:rPr>
      </w:pPr>
    </w:p>
    <w:p w:rsidR="00161310" w:rsidRPr="00C55940" w:rsidRDefault="001A58AA" w:rsidP="008D672D">
      <w:pPr>
        <w:pStyle w:val="Default"/>
        <w:jc w:val="both"/>
        <w:rPr>
          <w:color w:val="auto"/>
        </w:rPr>
      </w:pPr>
      <w:r w:rsidRPr="00C55940">
        <w:rPr>
          <w:color w:val="auto"/>
        </w:rPr>
        <w:t>Kështu që, Ministria e Financave</w:t>
      </w:r>
      <w:r w:rsidR="00161310" w:rsidRPr="00C55940">
        <w:rPr>
          <w:color w:val="auto"/>
        </w:rPr>
        <w:t xml:space="preserve"> ka vendosur të krijoj</w:t>
      </w:r>
      <w:r w:rsidRPr="00C55940">
        <w:rPr>
          <w:color w:val="auto"/>
        </w:rPr>
        <w:t>e</w:t>
      </w:r>
      <w:r w:rsidR="00161310" w:rsidRPr="00C55940">
        <w:rPr>
          <w:color w:val="auto"/>
        </w:rPr>
        <w:t xml:space="preserve"> </w:t>
      </w:r>
      <w:r w:rsidR="001B4778" w:rsidRPr="00C55940">
        <w:rPr>
          <w:color w:val="auto"/>
        </w:rPr>
        <w:t>Grupin Punues</w:t>
      </w:r>
      <w:r w:rsidR="00161310" w:rsidRPr="00C55940">
        <w:rPr>
          <w:color w:val="auto"/>
        </w:rPr>
        <w:t xml:space="preserve"> p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r rishikimin e </w:t>
      </w:r>
      <w:r w:rsidRPr="00C55940">
        <w:rPr>
          <w:color w:val="auto"/>
        </w:rPr>
        <w:t>kuadrit ligjor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fushën e tatimeve direkte dhe indirekte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Kosov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, </w:t>
      </w:r>
      <w:r w:rsidR="00161310" w:rsidRPr="00C55940">
        <w:rPr>
          <w:color w:val="auto"/>
        </w:rPr>
        <w:t>n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mënyrë q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propozimet e bëra t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jen</w:t>
      </w:r>
      <w:r w:rsidRPr="00C55940">
        <w:rPr>
          <w:color w:val="auto"/>
        </w:rPr>
        <w:t>ë</w:t>
      </w:r>
      <w:r w:rsidR="00161310" w:rsidRPr="00C55940">
        <w:rPr>
          <w:color w:val="auto"/>
        </w:rPr>
        <w:t xml:space="preserve"> n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funksion t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zbatimit m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t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drejt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dhe m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t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lehtë t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</w:t>
      </w:r>
      <w:r w:rsidRPr="00C55940">
        <w:rPr>
          <w:color w:val="auto"/>
        </w:rPr>
        <w:t xml:space="preserve">ligjeve tatimore dhe </w:t>
      </w:r>
      <w:r w:rsidR="00161310" w:rsidRPr="00C55940">
        <w:rPr>
          <w:color w:val="auto"/>
        </w:rPr>
        <w:t xml:space="preserve">procedurave nga ana e tatimpaguesve </w:t>
      </w:r>
      <w:r w:rsidRPr="00C55940">
        <w:rPr>
          <w:color w:val="auto"/>
        </w:rPr>
        <w:t>dhe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Administratës T</w:t>
      </w:r>
      <w:r w:rsidR="00161310" w:rsidRPr="00C55940">
        <w:rPr>
          <w:color w:val="auto"/>
        </w:rPr>
        <w:t>atimore n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funksion t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Përmbushjes vullnetare t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tatimeve, duke: </w:t>
      </w:r>
    </w:p>
    <w:p w:rsidR="00161310" w:rsidRPr="00C55940" w:rsidRDefault="00161310" w:rsidP="008D672D">
      <w:pPr>
        <w:pStyle w:val="Default"/>
        <w:jc w:val="both"/>
        <w:rPr>
          <w:color w:val="auto"/>
        </w:rPr>
      </w:pPr>
    </w:p>
    <w:p w:rsidR="00161310" w:rsidRPr="00C55940" w:rsidRDefault="00161310" w:rsidP="000345C6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C55940">
        <w:rPr>
          <w:color w:val="auto"/>
        </w:rPr>
        <w:lastRenderedPageBreak/>
        <w:t xml:space="preserve">Sistematizuar </w:t>
      </w:r>
      <w:r w:rsidR="001A58AA" w:rsidRPr="00C55940">
        <w:rPr>
          <w:color w:val="auto"/>
        </w:rPr>
        <w:t>strukturën dhe përmbajtjen</w:t>
      </w:r>
      <w:r w:rsidRPr="00C55940">
        <w:rPr>
          <w:color w:val="auto"/>
        </w:rPr>
        <w:t xml:space="preserve">; </w:t>
      </w:r>
    </w:p>
    <w:p w:rsidR="00161310" w:rsidRPr="00C55940" w:rsidRDefault="00161310" w:rsidP="000345C6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C55940">
        <w:rPr>
          <w:color w:val="auto"/>
        </w:rPr>
        <w:t>Ndryshuar dispozitat</w:t>
      </w:r>
      <w:r w:rsidR="001A58AA" w:rsidRPr="00C55940">
        <w:rPr>
          <w:color w:val="auto"/>
        </w:rPr>
        <w:t xml:space="preserve"> e nevojshme</w:t>
      </w:r>
      <w:r w:rsidRPr="00C55940">
        <w:rPr>
          <w:color w:val="auto"/>
        </w:rPr>
        <w:t xml:space="preserve">; </w:t>
      </w:r>
    </w:p>
    <w:p w:rsidR="00161310" w:rsidRPr="00C55940" w:rsidRDefault="00161310" w:rsidP="000345C6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C55940">
        <w:rPr>
          <w:color w:val="auto"/>
        </w:rPr>
        <w:t xml:space="preserve">Korrigjuar gabimet teknike; dhe </w:t>
      </w:r>
    </w:p>
    <w:p w:rsidR="00161310" w:rsidRPr="00C55940" w:rsidRDefault="00161310" w:rsidP="000345C6">
      <w:pPr>
        <w:pStyle w:val="Default"/>
        <w:numPr>
          <w:ilvl w:val="0"/>
          <w:numId w:val="16"/>
        </w:numPr>
        <w:jc w:val="both"/>
        <w:rPr>
          <w:color w:val="auto"/>
        </w:rPr>
      </w:pPr>
      <w:r w:rsidRPr="00C55940">
        <w:rPr>
          <w:color w:val="auto"/>
        </w:rPr>
        <w:t>Ad</w:t>
      </w:r>
      <w:r w:rsidR="000345C6" w:rsidRPr="00C55940">
        <w:rPr>
          <w:color w:val="auto"/>
        </w:rPr>
        <w:t>a</w:t>
      </w:r>
      <w:r w:rsidRPr="00C55940">
        <w:rPr>
          <w:color w:val="auto"/>
        </w:rPr>
        <w:t xml:space="preserve">ptuar legjislacionin sekondar. </w:t>
      </w:r>
    </w:p>
    <w:p w:rsidR="00161310" w:rsidRPr="00C55940" w:rsidRDefault="00161310" w:rsidP="008D672D">
      <w:pPr>
        <w:pStyle w:val="Default"/>
        <w:jc w:val="both"/>
        <w:rPr>
          <w:color w:val="auto"/>
        </w:rPr>
      </w:pPr>
    </w:p>
    <w:p w:rsidR="00161310" w:rsidRPr="00C55940" w:rsidRDefault="00161310" w:rsidP="008D672D">
      <w:pPr>
        <w:pStyle w:val="Default"/>
        <w:jc w:val="both"/>
        <w:rPr>
          <w:color w:val="auto"/>
        </w:rPr>
      </w:pPr>
      <w:r w:rsidRPr="00C55940">
        <w:rPr>
          <w:color w:val="auto"/>
        </w:rPr>
        <w:t>Arritja e këtyre q</w:t>
      </w:r>
      <w:r w:rsidR="001A58AA" w:rsidRPr="00C55940">
        <w:rPr>
          <w:color w:val="auto"/>
        </w:rPr>
        <w:t>ëllimeve</w:t>
      </w:r>
      <w:r w:rsidRPr="00C55940">
        <w:rPr>
          <w:color w:val="auto"/>
        </w:rPr>
        <w:t xml:space="preserve"> në përgjithësi, e veçanërisht të zhvillimit të qëndrueshëm ekonomik, përfshi</w:t>
      </w:r>
      <w:r w:rsidR="001A58AA" w:rsidRPr="00C55940">
        <w:rPr>
          <w:color w:val="auto"/>
        </w:rPr>
        <w:t>rë</w:t>
      </w:r>
      <w:r w:rsidRPr="00C55940">
        <w:rPr>
          <w:color w:val="auto"/>
        </w:rPr>
        <w:t xml:space="preserve"> edhe fushën e tatimeve kërkon q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legjislacioni tatimor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jetë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funksion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përmbushjes tatimore nga ana e tatimpaguesve, posaçërisht përmbushja vullnetare e tatimeve. </w:t>
      </w:r>
    </w:p>
    <w:p w:rsidR="000345C6" w:rsidRPr="00C55940" w:rsidRDefault="000345C6" w:rsidP="008D672D">
      <w:pPr>
        <w:pStyle w:val="Default"/>
        <w:jc w:val="both"/>
        <w:rPr>
          <w:color w:val="auto"/>
        </w:rPr>
      </w:pPr>
    </w:p>
    <w:p w:rsidR="00161310" w:rsidRPr="00C55940" w:rsidRDefault="00161310" w:rsidP="008D672D">
      <w:pPr>
        <w:pStyle w:val="Default"/>
        <w:jc w:val="both"/>
        <w:rPr>
          <w:color w:val="auto"/>
        </w:rPr>
      </w:pPr>
      <w:r w:rsidRPr="00C55940">
        <w:rPr>
          <w:color w:val="auto"/>
        </w:rPr>
        <w:t xml:space="preserve">Ky qëllim i përcaktuar, synohet të realizohet përmes tri objektivave: </w:t>
      </w:r>
    </w:p>
    <w:p w:rsidR="000345C6" w:rsidRPr="00C55940" w:rsidRDefault="00161310" w:rsidP="000345C6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C55940">
        <w:rPr>
          <w:color w:val="auto"/>
        </w:rPr>
        <w:t xml:space="preserve">Sistematizimi i duhur i dispozitave ligjore në fuqi; </w:t>
      </w:r>
    </w:p>
    <w:p w:rsidR="00161310" w:rsidRPr="00C55940" w:rsidRDefault="00161310" w:rsidP="000345C6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C55940">
        <w:rPr>
          <w:color w:val="auto"/>
        </w:rPr>
        <w:t>Harmonizimi i mëtejmë i le</w:t>
      </w:r>
      <w:r w:rsidR="001A58AA" w:rsidRPr="00C55940">
        <w:rPr>
          <w:color w:val="auto"/>
        </w:rPr>
        <w:t>gjislacionit me rekomandimet e i</w:t>
      </w:r>
      <w:r w:rsidRPr="00C55940">
        <w:rPr>
          <w:color w:val="auto"/>
        </w:rPr>
        <w:t xml:space="preserve">nstitucioneve kombëtare dhe ndërkombëtare; dhe </w:t>
      </w:r>
    </w:p>
    <w:p w:rsidR="00161310" w:rsidRPr="00C55940" w:rsidRDefault="00161310" w:rsidP="000345C6">
      <w:pPr>
        <w:pStyle w:val="Default"/>
        <w:numPr>
          <w:ilvl w:val="0"/>
          <w:numId w:val="17"/>
        </w:numPr>
        <w:jc w:val="both"/>
        <w:rPr>
          <w:color w:val="auto"/>
        </w:rPr>
      </w:pPr>
      <w:r w:rsidRPr="00C55940">
        <w:rPr>
          <w:color w:val="auto"/>
        </w:rPr>
        <w:t>Evitimi i pengesave në zbatimin e legjislacionit</w:t>
      </w:r>
      <w:r w:rsidR="001A58AA" w:rsidRPr="00C55940">
        <w:rPr>
          <w:color w:val="auto"/>
        </w:rPr>
        <w:t xml:space="preserve"> tatimor ne përgjithësi</w:t>
      </w:r>
      <w:r w:rsidR="000345C6" w:rsidRPr="00C55940">
        <w:rPr>
          <w:color w:val="auto"/>
        </w:rPr>
        <w:t>.</w:t>
      </w:r>
    </w:p>
    <w:p w:rsidR="00161310" w:rsidRPr="00C55940" w:rsidRDefault="00161310" w:rsidP="008D672D">
      <w:pPr>
        <w:pStyle w:val="Default"/>
        <w:jc w:val="both"/>
        <w:rPr>
          <w:color w:val="auto"/>
        </w:rPr>
      </w:pPr>
    </w:p>
    <w:p w:rsidR="00C951F7" w:rsidRPr="00C55940" w:rsidRDefault="00C951F7" w:rsidP="008D672D">
      <w:pPr>
        <w:pStyle w:val="Default"/>
        <w:jc w:val="both"/>
        <w:rPr>
          <w:b/>
          <w:bCs/>
          <w:color w:val="auto"/>
        </w:rPr>
      </w:pPr>
    </w:p>
    <w:p w:rsidR="00161310" w:rsidRPr="0089523B" w:rsidRDefault="00161310" w:rsidP="0089523B">
      <w:pPr>
        <w:pStyle w:val="Heading1"/>
        <w:numPr>
          <w:ilvl w:val="0"/>
          <w:numId w:val="14"/>
        </w:numPr>
        <w:rPr>
          <w:rFonts w:ascii="Times New Roman" w:hAnsi="Times New Roman" w:cs="Times New Roman"/>
          <w:b/>
          <w:color w:val="000099"/>
          <w:sz w:val="28"/>
          <w:szCs w:val="24"/>
        </w:rPr>
      </w:pPr>
      <w:bookmarkStart w:id="3" w:name="_Toc504390425"/>
      <w:r w:rsidRPr="0089523B">
        <w:rPr>
          <w:rFonts w:ascii="Times New Roman" w:hAnsi="Times New Roman" w:cs="Times New Roman"/>
          <w:b/>
          <w:color w:val="000099"/>
          <w:sz w:val="28"/>
          <w:szCs w:val="24"/>
        </w:rPr>
        <w:t>Opsioni i rekomanduar</w:t>
      </w:r>
      <w:bookmarkEnd w:id="3"/>
    </w:p>
    <w:p w:rsidR="00161310" w:rsidRPr="00C55940" w:rsidRDefault="00161310" w:rsidP="008D672D">
      <w:pPr>
        <w:pStyle w:val="Default"/>
        <w:jc w:val="both"/>
        <w:rPr>
          <w:color w:val="auto"/>
        </w:rPr>
      </w:pPr>
    </w:p>
    <w:p w:rsidR="00161310" w:rsidRPr="00C55940" w:rsidRDefault="00161310" w:rsidP="008D672D">
      <w:pPr>
        <w:pStyle w:val="Default"/>
        <w:jc w:val="both"/>
        <w:rPr>
          <w:color w:val="auto"/>
        </w:rPr>
      </w:pPr>
      <w:r w:rsidRPr="00C55940">
        <w:rPr>
          <w:color w:val="auto"/>
        </w:rPr>
        <w:t>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mbështetje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</w:t>
      </w:r>
      <w:r w:rsidR="001A58AA" w:rsidRPr="00C55940">
        <w:rPr>
          <w:color w:val="auto"/>
        </w:rPr>
        <w:t>dispozitave t</w:t>
      </w:r>
      <w:r w:rsidR="00207555" w:rsidRPr="00C55940">
        <w:rPr>
          <w:color w:val="auto"/>
        </w:rPr>
        <w:t>ë</w:t>
      </w:r>
      <w:r w:rsidR="001A58AA" w:rsidRPr="00C55940">
        <w:rPr>
          <w:color w:val="auto"/>
        </w:rPr>
        <w:t xml:space="preserve"> përcaktuara me Udhëzimin</w:t>
      </w:r>
      <w:r w:rsidRPr="00C55940">
        <w:rPr>
          <w:color w:val="auto"/>
        </w:rPr>
        <w:t xml:space="preserve"> për hartimin e Koncept Dokumentit, </w:t>
      </w:r>
      <w:r w:rsidR="001B4778" w:rsidRPr="00C55940">
        <w:rPr>
          <w:color w:val="auto"/>
        </w:rPr>
        <w:t>Grupi punues</w:t>
      </w:r>
      <w:r w:rsidRPr="00C55940">
        <w:rPr>
          <w:color w:val="auto"/>
        </w:rPr>
        <w:t xml:space="preserve"> në takimet e veta ka shqyrtuar tri opsionet e mundshme</w:t>
      </w:r>
      <w:r w:rsidR="000345C6" w:rsidRPr="00C55940">
        <w:rPr>
          <w:color w:val="auto"/>
        </w:rPr>
        <w:t>,</w:t>
      </w:r>
      <w:r w:rsidRPr="00C55940">
        <w:rPr>
          <w:color w:val="auto"/>
        </w:rPr>
        <w:t xml:space="preserve">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cilat i përkrah Udhëzimi, me të cilat mund të adresohet objektivi i </w:t>
      </w:r>
      <w:r w:rsidR="000345C6" w:rsidRPr="00C55940">
        <w:rPr>
          <w:color w:val="auto"/>
        </w:rPr>
        <w:t>t</w:t>
      </w:r>
      <w:r w:rsidRPr="00C55940">
        <w:rPr>
          <w:color w:val="auto"/>
        </w:rPr>
        <w:t>ij, q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synon ngritjen e nivelit të përmbushjes tatimore, si në vijim: </w:t>
      </w:r>
    </w:p>
    <w:p w:rsidR="000345C6" w:rsidRPr="00C55940" w:rsidRDefault="000345C6" w:rsidP="000345C6">
      <w:pPr>
        <w:pStyle w:val="Default"/>
        <w:spacing w:after="60"/>
        <w:jc w:val="both"/>
        <w:rPr>
          <w:color w:val="auto"/>
        </w:rPr>
      </w:pPr>
    </w:p>
    <w:p w:rsidR="000345C6" w:rsidRPr="00C55940" w:rsidRDefault="00161310" w:rsidP="000345C6">
      <w:pPr>
        <w:pStyle w:val="Default"/>
        <w:numPr>
          <w:ilvl w:val="1"/>
          <w:numId w:val="21"/>
        </w:numPr>
        <w:spacing w:after="60"/>
        <w:ind w:left="900" w:hanging="450"/>
        <w:jc w:val="both"/>
        <w:rPr>
          <w:color w:val="auto"/>
        </w:rPr>
      </w:pPr>
      <w:r w:rsidRPr="00C55940">
        <w:rPr>
          <w:color w:val="auto"/>
        </w:rPr>
        <w:t xml:space="preserve">Opsioni i adresimit të problemeve me hartimin e akteve nënligjore; </w:t>
      </w:r>
    </w:p>
    <w:p w:rsidR="000345C6" w:rsidRPr="00C55940" w:rsidRDefault="00161310" w:rsidP="000345C6">
      <w:pPr>
        <w:pStyle w:val="Default"/>
        <w:numPr>
          <w:ilvl w:val="1"/>
          <w:numId w:val="21"/>
        </w:numPr>
        <w:spacing w:after="60"/>
        <w:ind w:left="900" w:hanging="450"/>
        <w:jc w:val="both"/>
        <w:rPr>
          <w:color w:val="auto"/>
        </w:rPr>
      </w:pPr>
      <w:r w:rsidRPr="00C55940">
        <w:rPr>
          <w:color w:val="auto"/>
        </w:rPr>
        <w:t xml:space="preserve">Opsionin e adresimit të problemeve me anë të ndryshimit të qasjes së zbatimit dhe ruajtjes së status </w:t>
      </w:r>
      <w:proofErr w:type="spellStart"/>
      <w:r w:rsidRPr="00C55940">
        <w:rPr>
          <w:color w:val="auto"/>
        </w:rPr>
        <w:t>quos</w:t>
      </w:r>
      <w:proofErr w:type="spellEnd"/>
      <w:r w:rsidRPr="00C55940">
        <w:rPr>
          <w:color w:val="auto"/>
        </w:rPr>
        <w:t xml:space="preserve">; dhe </w:t>
      </w:r>
    </w:p>
    <w:p w:rsidR="00161310" w:rsidRPr="00C55940" w:rsidRDefault="00161310" w:rsidP="000345C6">
      <w:pPr>
        <w:pStyle w:val="Default"/>
        <w:numPr>
          <w:ilvl w:val="1"/>
          <w:numId w:val="21"/>
        </w:numPr>
        <w:spacing w:after="60"/>
        <w:ind w:left="900" w:hanging="450"/>
        <w:jc w:val="both"/>
        <w:rPr>
          <w:color w:val="auto"/>
        </w:rPr>
      </w:pPr>
      <w:r w:rsidRPr="00C55940">
        <w:rPr>
          <w:color w:val="auto"/>
        </w:rPr>
        <w:t xml:space="preserve">Opsioni i plotësimit dhe ndryshimit të </w:t>
      </w:r>
      <w:r w:rsidR="00311452" w:rsidRPr="00C55940">
        <w:rPr>
          <w:color w:val="auto"/>
        </w:rPr>
        <w:t>l</w:t>
      </w:r>
      <w:r w:rsidRPr="00C55940">
        <w:rPr>
          <w:color w:val="auto"/>
        </w:rPr>
        <w:t>igj</w:t>
      </w:r>
      <w:r w:rsidR="00311452" w:rsidRPr="00C55940">
        <w:rPr>
          <w:color w:val="auto"/>
        </w:rPr>
        <w:t>eve</w:t>
      </w:r>
      <w:r w:rsidRPr="00C55940">
        <w:rPr>
          <w:color w:val="auto"/>
        </w:rPr>
        <w:t xml:space="preserve"> ekzist</w:t>
      </w:r>
      <w:r w:rsidR="00311452" w:rsidRPr="00C55940">
        <w:rPr>
          <w:color w:val="auto"/>
        </w:rPr>
        <w:t>uese apo hartimit të ligjeve te reja</w:t>
      </w:r>
      <w:r w:rsidRPr="00C55940">
        <w:rPr>
          <w:color w:val="auto"/>
        </w:rPr>
        <w:t xml:space="preserve">. </w:t>
      </w:r>
    </w:p>
    <w:p w:rsidR="00161310" w:rsidRPr="00C55940" w:rsidRDefault="00161310" w:rsidP="008D672D">
      <w:pPr>
        <w:pStyle w:val="Default"/>
        <w:jc w:val="both"/>
        <w:rPr>
          <w:color w:val="auto"/>
        </w:rPr>
      </w:pPr>
    </w:p>
    <w:p w:rsidR="00C951F7" w:rsidRPr="00B042F1" w:rsidRDefault="00161310" w:rsidP="00B042F1">
      <w:pPr>
        <w:pStyle w:val="Default"/>
        <w:jc w:val="both"/>
        <w:rPr>
          <w:color w:val="auto"/>
        </w:rPr>
      </w:pPr>
      <w:r w:rsidRPr="00C55940">
        <w:rPr>
          <w:color w:val="auto"/>
        </w:rPr>
        <w:t>Opsioni i parë dhe i dytë, nuk mund të adre</w:t>
      </w:r>
      <w:r w:rsidR="006B248A" w:rsidRPr="00C55940">
        <w:rPr>
          <w:color w:val="auto"/>
        </w:rPr>
        <w:t>sojnë problemet e identifikuara</w:t>
      </w:r>
      <w:r w:rsidRPr="00C55940">
        <w:rPr>
          <w:color w:val="auto"/>
        </w:rPr>
        <w:t xml:space="preserve">, andaj, opsioni i vetëm për </w:t>
      </w:r>
      <w:r w:rsidR="001B4778" w:rsidRPr="00C55940">
        <w:rPr>
          <w:color w:val="auto"/>
        </w:rPr>
        <w:t>Grupin Punues</w:t>
      </w:r>
      <w:r w:rsidR="00311452" w:rsidRPr="00C55940">
        <w:rPr>
          <w:color w:val="auto"/>
        </w:rPr>
        <w:t xml:space="preserve"> p</w:t>
      </w:r>
      <w:r w:rsidR="00207555" w:rsidRPr="00C55940">
        <w:rPr>
          <w:color w:val="auto"/>
        </w:rPr>
        <w:t>ë</w:t>
      </w:r>
      <w:r w:rsidR="00311452" w:rsidRPr="00C55940">
        <w:rPr>
          <w:color w:val="auto"/>
        </w:rPr>
        <w:t>r përgatitjen e Koncept Dokumentit, është rekomandimi</w:t>
      </w:r>
      <w:r w:rsidRPr="00C55940">
        <w:rPr>
          <w:color w:val="auto"/>
        </w:rPr>
        <w:t xml:space="preserve"> për Qeverinë e Republikës së Kosovës </w:t>
      </w:r>
      <w:r w:rsidR="006B248A" w:rsidRPr="00C55940">
        <w:rPr>
          <w:color w:val="auto"/>
        </w:rPr>
        <w:t>q</w:t>
      </w:r>
      <w:r w:rsidR="00207555" w:rsidRPr="00C55940">
        <w:rPr>
          <w:color w:val="auto"/>
        </w:rPr>
        <w:t>ë</w:t>
      </w:r>
      <w:r w:rsidR="006B248A" w:rsidRPr="00C55940">
        <w:rPr>
          <w:color w:val="auto"/>
        </w:rPr>
        <w:t xml:space="preserve"> t</w:t>
      </w:r>
      <w:r w:rsidR="00207555" w:rsidRPr="00C55940">
        <w:rPr>
          <w:color w:val="auto"/>
        </w:rPr>
        <w:t>ë</w:t>
      </w:r>
      <w:r w:rsidR="006B248A" w:rsidRPr="00C55940">
        <w:rPr>
          <w:color w:val="auto"/>
        </w:rPr>
        <w:t xml:space="preserve"> </w:t>
      </w:r>
      <w:r w:rsidRPr="00C55940">
        <w:rPr>
          <w:color w:val="auto"/>
        </w:rPr>
        <w:t xml:space="preserve">mbetet opsioni i hartimit të </w:t>
      </w:r>
      <w:r w:rsidR="00311452" w:rsidRPr="00C55940">
        <w:rPr>
          <w:color w:val="auto"/>
        </w:rPr>
        <w:t xml:space="preserve">projektligjeve </w:t>
      </w:r>
      <w:r w:rsidRPr="00C55940">
        <w:rPr>
          <w:color w:val="auto"/>
        </w:rPr>
        <w:t>për plo</w:t>
      </w:r>
      <w:r w:rsidR="00311452" w:rsidRPr="00C55940">
        <w:rPr>
          <w:color w:val="auto"/>
        </w:rPr>
        <w:t>tësimin dhe ndryshimin e ligjeve</w:t>
      </w:r>
      <w:r w:rsidRPr="00C55940">
        <w:rPr>
          <w:color w:val="auto"/>
        </w:rPr>
        <w:t xml:space="preserve"> ekzistues</w:t>
      </w:r>
      <w:r w:rsidR="00311452" w:rsidRPr="00C55940">
        <w:rPr>
          <w:color w:val="auto"/>
        </w:rPr>
        <w:t>e</w:t>
      </w:r>
      <w:r w:rsidR="006B248A" w:rsidRPr="00C55940">
        <w:rPr>
          <w:color w:val="auto"/>
        </w:rPr>
        <w:t>,</w:t>
      </w:r>
      <w:r w:rsidR="00311452" w:rsidRPr="00C55940">
        <w:rPr>
          <w:color w:val="auto"/>
        </w:rPr>
        <w:t xml:space="preserve"> sipas llojit t</w:t>
      </w:r>
      <w:r w:rsidR="00207555" w:rsidRPr="00C55940">
        <w:rPr>
          <w:color w:val="auto"/>
        </w:rPr>
        <w:t>ë</w:t>
      </w:r>
      <w:r w:rsidR="00311452" w:rsidRPr="00C55940">
        <w:rPr>
          <w:color w:val="auto"/>
        </w:rPr>
        <w:t xml:space="preserve"> tatimeve</w:t>
      </w:r>
      <w:r w:rsidR="006B248A" w:rsidRPr="00C55940">
        <w:rPr>
          <w:color w:val="auto"/>
        </w:rPr>
        <w:t xml:space="preserve"> </w:t>
      </w:r>
      <w:r w:rsidR="00311452" w:rsidRPr="00C55940">
        <w:rPr>
          <w:color w:val="auto"/>
        </w:rPr>
        <w:t>(TVSH; TAP dhe TAK) dhe  hartimin e Projektligjit t</w:t>
      </w:r>
      <w:r w:rsidR="00207555" w:rsidRPr="00C55940">
        <w:rPr>
          <w:color w:val="auto"/>
        </w:rPr>
        <w:t>ë</w:t>
      </w:r>
      <w:r w:rsidR="00311452" w:rsidRPr="00C55940">
        <w:rPr>
          <w:color w:val="auto"/>
        </w:rPr>
        <w:t xml:space="preserve"> ri p</w:t>
      </w:r>
      <w:r w:rsidR="00207555" w:rsidRPr="00C55940">
        <w:rPr>
          <w:color w:val="auto"/>
        </w:rPr>
        <w:t>ë</w:t>
      </w:r>
      <w:r w:rsidR="00311452" w:rsidRPr="00C55940">
        <w:rPr>
          <w:color w:val="auto"/>
        </w:rPr>
        <w:t>r Administratën Tatimore dhe Procedurat</w:t>
      </w:r>
      <w:r w:rsidRPr="00C55940">
        <w:rPr>
          <w:color w:val="auto"/>
        </w:rPr>
        <w:t xml:space="preserve">, varësisht nga </w:t>
      </w:r>
      <w:r w:rsidR="00311452" w:rsidRPr="00C55940">
        <w:rPr>
          <w:color w:val="auto"/>
        </w:rPr>
        <w:t>volumi i ndryshimeve t</w:t>
      </w:r>
      <w:r w:rsidR="00207555" w:rsidRPr="00C55940">
        <w:rPr>
          <w:color w:val="auto"/>
        </w:rPr>
        <w:t>ë</w:t>
      </w:r>
      <w:r w:rsidR="00311452" w:rsidRPr="00C55940">
        <w:rPr>
          <w:color w:val="auto"/>
        </w:rPr>
        <w:t xml:space="preserve"> propozuara.</w:t>
      </w:r>
      <w:r w:rsidRPr="00C55940">
        <w:rPr>
          <w:color w:val="auto"/>
        </w:rPr>
        <w:t xml:space="preserve"> </w:t>
      </w:r>
      <w:bookmarkStart w:id="4" w:name="_GoBack"/>
      <w:bookmarkEnd w:id="4"/>
      <w:r w:rsidR="00C951F7">
        <w:rPr>
          <w:b/>
          <w:bCs/>
        </w:rPr>
        <w:br w:type="page"/>
      </w:r>
    </w:p>
    <w:p w:rsidR="00161310" w:rsidRPr="0089523B" w:rsidRDefault="00161310" w:rsidP="0089523B">
      <w:pPr>
        <w:pStyle w:val="Heading1"/>
        <w:numPr>
          <w:ilvl w:val="0"/>
          <w:numId w:val="14"/>
        </w:numPr>
        <w:rPr>
          <w:rFonts w:ascii="Times New Roman" w:hAnsi="Times New Roman" w:cs="Times New Roman"/>
          <w:b/>
          <w:color w:val="000099"/>
          <w:sz w:val="28"/>
          <w:szCs w:val="24"/>
        </w:rPr>
      </w:pPr>
      <w:bookmarkStart w:id="5" w:name="_Toc504390426"/>
      <w:r w:rsidRPr="0089523B">
        <w:rPr>
          <w:rFonts w:ascii="Times New Roman" w:hAnsi="Times New Roman" w:cs="Times New Roman"/>
          <w:b/>
          <w:color w:val="000099"/>
          <w:sz w:val="28"/>
          <w:szCs w:val="24"/>
        </w:rPr>
        <w:lastRenderedPageBreak/>
        <w:t>Arsyetimi i propozimit</w:t>
      </w:r>
      <w:bookmarkEnd w:id="5"/>
    </w:p>
    <w:p w:rsidR="00161310" w:rsidRPr="00C55940" w:rsidRDefault="00161310" w:rsidP="008D672D">
      <w:pPr>
        <w:pStyle w:val="Default"/>
        <w:jc w:val="both"/>
        <w:rPr>
          <w:color w:val="auto"/>
        </w:rPr>
      </w:pPr>
    </w:p>
    <w:p w:rsidR="00161310" w:rsidRPr="00C55940" w:rsidRDefault="00161310" w:rsidP="008D672D">
      <w:pPr>
        <w:pStyle w:val="Default"/>
        <w:jc w:val="both"/>
        <w:rPr>
          <w:color w:val="auto"/>
        </w:rPr>
      </w:pPr>
      <w:r w:rsidRPr="00C55940">
        <w:rPr>
          <w:color w:val="auto"/>
        </w:rPr>
        <w:t>Meqenëse ndryshimet e propozuara nuk janë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mundshme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adresohen përmes aktev</w:t>
      </w:r>
      <w:r w:rsidR="0073788B" w:rsidRPr="00C55940">
        <w:rPr>
          <w:color w:val="auto"/>
        </w:rPr>
        <w:t>e nënligjore, hartimi i projektligjeve p</w:t>
      </w:r>
      <w:r w:rsidR="00207555" w:rsidRPr="00C55940">
        <w:rPr>
          <w:color w:val="auto"/>
        </w:rPr>
        <w:t>ë</w:t>
      </w:r>
      <w:r w:rsidR="0073788B" w:rsidRPr="00C55940">
        <w:rPr>
          <w:color w:val="auto"/>
        </w:rPr>
        <w:t>r ndryshim-plotësime</w:t>
      </w:r>
      <w:r w:rsidRPr="00C55940">
        <w:rPr>
          <w:color w:val="auto"/>
        </w:rPr>
        <w:t xml:space="preserve"> </w:t>
      </w:r>
      <w:r w:rsidR="0073788B" w:rsidRPr="00C55940">
        <w:rPr>
          <w:color w:val="auto"/>
        </w:rPr>
        <w:t>mbetet</w:t>
      </w:r>
      <w:r w:rsidRPr="00C55940">
        <w:rPr>
          <w:color w:val="auto"/>
        </w:rPr>
        <w:t xml:space="preserve"> opsioni i vetëm që mund të përmbush kërkesat e parashtruara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kapitullin e mëposhtëm</w:t>
      </w:r>
      <w:r w:rsidR="006B248A" w:rsidRPr="00C55940">
        <w:rPr>
          <w:color w:val="auto"/>
        </w:rPr>
        <w:t xml:space="preserve"> (</w:t>
      </w:r>
      <w:r w:rsidR="0073788B" w:rsidRPr="00C55940">
        <w:rPr>
          <w:color w:val="auto"/>
        </w:rPr>
        <w:t>kapitulli 6)</w:t>
      </w:r>
      <w:r w:rsidRPr="00C55940">
        <w:rPr>
          <w:color w:val="auto"/>
        </w:rPr>
        <w:t xml:space="preserve"> ku janë vendosur propozimet konkrete</w:t>
      </w:r>
      <w:r w:rsidR="0073788B" w:rsidRPr="00C55940">
        <w:rPr>
          <w:color w:val="auto"/>
        </w:rPr>
        <w:t xml:space="preserve"> p</w:t>
      </w:r>
      <w:r w:rsidR="00207555" w:rsidRPr="00C55940">
        <w:rPr>
          <w:color w:val="auto"/>
        </w:rPr>
        <w:t>ë</w:t>
      </w:r>
      <w:r w:rsidR="0073788B" w:rsidRPr="00C55940">
        <w:rPr>
          <w:color w:val="auto"/>
        </w:rPr>
        <w:t>r t</w:t>
      </w:r>
      <w:r w:rsidR="00207555" w:rsidRPr="00C55940">
        <w:rPr>
          <w:color w:val="auto"/>
        </w:rPr>
        <w:t>ë</w:t>
      </w:r>
      <w:r w:rsidR="0073788B" w:rsidRPr="00C55940">
        <w:rPr>
          <w:color w:val="auto"/>
        </w:rPr>
        <w:t xml:space="preserve"> katër projektligjet</w:t>
      </w:r>
      <w:r w:rsidRPr="00C55940">
        <w:rPr>
          <w:color w:val="auto"/>
        </w:rPr>
        <w:t xml:space="preserve">: </w:t>
      </w:r>
    </w:p>
    <w:p w:rsidR="00161310" w:rsidRPr="00C55940" w:rsidRDefault="00161310" w:rsidP="008D672D">
      <w:pPr>
        <w:pStyle w:val="Default"/>
        <w:jc w:val="both"/>
        <w:rPr>
          <w:color w:val="auto"/>
        </w:rPr>
      </w:pPr>
    </w:p>
    <w:p w:rsidR="0073788B" w:rsidRPr="00C55940" w:rsidRDefault="0073788B" w:rsidP="008D672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C55940">
        <w:rPr>
          <w:color w:val="auto"/>
        </w:rPr>
        <w:t>Ligjet</w:t>
      </w:r>
      <w:r w:rsidR="00161310" w:rsidRPr="00C55940">
        <w:rPr>
          <w:color w:val="auto"/>
        </w:rPr>
        <w:t xml:space="preserve"> aktual</w:t>
      </w:r>
      <w:r w:rsidRPr="00C55940">
        <w:rPr>
          <w:color w:val="auto"/>
        </w:rPr>
        <w:t>e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fuqi</w:t>
      </w:r>
      <w:r w:rsidR="00161310" w:rsidRPr="00C55940">
        <w:rPr>
          <w:color w:val="auto"/>
        </w:rPr>
        <w:t xml:space="preserve">, edhe pse </w:t>
      </w:r>
      <w:r w:rsidR="001B4778" w:rsidRPr="00C55940">
        <w:rPr>
          <w:color w:val="auto"/>
        </w:rPr>
        <w:t>bëjnë</w:t>
      </w:r>
      <w:r w:rsidR="00161310" w:rsidRPr="00C55940">
        <w:rPr>
          <w:color w:val="auto"/>
        </w:rPr>
        <w:t xml:space="preserve"> adresimin e </w:t>
      </w:r>
      <w:r w:rsidRPr="00C55940">
        <w:rPr>
          <w:color w:val="auto"/>
        </w:rPr>
        <w:t>shum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çështjeve tatimore dhe </w:t>
      </w:r>
      <w:r w:rsidR="00161310" w:rsidRPr="00C55940">
        <w:rPr>
          <w:color w:val="auto"/>
        </w:rPr>
        <w:t>procedurave, t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drejtave </w:t>
      </w:r>
      <w:r w:rsidRPr="00C55940">
        <w:rPr>
          <w:color w:val="auto"/>
        </w:rPr>
        <w:t>dhe detyrimeve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tatimpaguesve</w:t>
      </w:r>
      <w:r w:rsidR="00161310" w:rsidRPr="00C55940">
        <w:rPr>
          <w:color w:val="auto"/>
        </w:rPr>
        <w:t xml:space="preserve"> dhe t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Administratës Tatimore, n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çështjet e propozuara për ndryshime, ka raste kur ka</w:t>
      </w:r>
      <w:r w:rsidRPr="00C55940">
        <w:rPr>
          <w:color w:val="auto"/>
        </w:rPr>
        <w:t>n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qen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penges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dhe nxitës i mos përmbushjes s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obligimeve dhe penges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për përmbushjen vullnetare.</w:t>
      </w:r>
    </w:p>
    <w:p w:rsidR="0073788B" w:rsidRPr="00C55940" w:rsidRDefault="0073788B" w:rsidP="008D672D">
      <w:pPr>
        <w:pStyle w:val="Default"/>
        <w:ind w:left="360"/>
        <w:jc w:val="both"/>
        <w:rPr>
          <w:color w:val="auto"/>
        </w:rPr>
      </w:pPr>
    </w:p>
    <w:p w:rsidR="0073788B" w:rsidRPr="00C55940" w:rsidRDefault="0073788B" w:rsidP="008D672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C55940">
        <w:rPr>
          <w:color w:val="auto"/>
        </w:rPr>
        <w:t>Edhe pse ligjet ekzistuese në pjesën dërmuese të tyre janë</w:t>
      </w:r>
      <w:r w:rsidR="00161310" w:rsidRPr="00C55940">
        <w:rPr>
          <w:color w:val="auto"/>
        </w:rPr>
        <w:t xml:space="preserve"> në pajtim me raportet e Institucioneve ndërkombëtare, përfshi</w:t>
      </w:r>
      <w:r w:rsidRPr="00C55940">
        <w:rPr>
          <w:color w:val="auto"/>
        </w:rPr>
        <w:t>rë këtu edhe r</w:t>
      </w:r>
      <w:r w:rsidR="00161310" w:rsidRPr="00C55940">
        <w:rPr>
          <w:color w:val="auto"/>
        </w:rPr>
        <w:t>ekomandimet e FMN-s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>, te cilët adresojnë kryesisht problemin e borxheve t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tatimpaguesve, n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t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cilën çështje kemi edhe ngecjet m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t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mëdha t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tatimpaguesve</w:t>
      </w:r>
      <w:r w:rsidR="006B248A" w:rsidRPr="00C55940">
        <w:rPr>
          <w:color w:val="auto"/>
        </w:rPr>
        <w:t>,</w:t>
      </w:r>
      <w:r w:rsidR="00161310" w:rsidRPr="00C55940">
        <w:rPr>
          <w:color w:val="auto"/>
        </w:rPr>
        <w:t xml:space="preserve"> pavarësisht statusit t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tyre, bizneset individuale dhe juridike, po edhe ngecjet e Administratës Tati</w:t>
      </w:r>
      <w:r w:rsidRPr="00C55940">
        <w:rPr>
          <w:color w:val="auto"/>
        </w:rPr>
        <w:t>more. Këta e konsiderojnë Legjislacionin aktual</w:t>
      </w:r>
      <w:r w:rsidR="00161310" w:rsidRPr="00C55940">
        <w:rPr>
          <w:color w:val="auto"/>
        </w:rPr>
        <w:t xml:space="preserve"> të vështirë për t’u apli</w:t>
      </w:r>
      <w:r w:rsidRPr="00C55940">
        <w:rPr>
          <w:color w:val="auto"/>
        </w:rPr>
        <w:t>kuar. Andaj, kjo kërkon që ligjet ekzistuese të rishikohen,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bëhen</w:t>
      </w:r>
      <w:r w:rsidR="00161310" w:rsidRPr="00C55940">
        <w:rPr>
          <w:color w:val="auto"/>
        </w:rPr>
        <w:t xml:space="preserve"> m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</w:t>
      </w:r>
      <w:r w:rsidRPr="00C55940">
        <w:rPr>
          <w:color w:val="auto"/>
        </w:rPr>
        <w:t>të thjeshta, m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të</w:t>
      </w:r>
      <w:r w:rsidR="00161310" w:rsidRPr="00C55940">
        <w:rPr>
          <w:color w:val="auto"/>
        </w:rPr>
        <w:t xml:space="preserve"> </w:t>
      </w:r>
      <w:r w:rsidRPr="00C55940">
        <w:rPr>
          <w:color w:val="auto"/>
        </w:rPr>
        <w:t>qarta dhe mangësitë e identifikuara</w:t>
      </w:r>
      <w:r w:rsidR="006B248A" w:rsidRPr="00C55940">
        <w:rPr>
          <w:color w:val="auto"/>
        </w:rPr>
        <w:t>,</w:t>
      </w:r>
      <w:r w:rsidRPr="00C55940">
        <w:rPr>
          <w:color w:val="auto"/>
        </w:rPr>
        <w:t xml:space="preserve"> si</w:t>
      </w:r>
      <w:r w:rsidR="00161310" w:rsidRPr="00C55940">
        <w:rPr>
          <w:color w:val="auto"/>
        </w:rPr>
        <w:t xml:space="preserve"> dhe gabimet teknike kërkojnë ndryshime dhe korrigjime. Këto probleme mund të adresohen v</w:t>
      </w:r>
      <w:r w:rsidRPr="00C55940">
        <w:rPr>
          <w:color w:val="auto"/>
        </w:rPr>
        <w:t>etëm me hartimin e Projektligjeve p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>r ndryshim-plotësime,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cilat</w:t>
      </w:r>
      <w:r w:rsidR="00161310" w:rsidRPr="00C55940">
        <w:rPr>
          <w:color w:val="auto"/>
        </w:rPr>
        <w:t xml:space="preserve"> synohet të </w:t>
      </w:r>
      <w:r w:rsidRPr="00C55940">
        <w:rPr>
          <w:color w:val="auto"/>
        </w:rPr>
        <w:t xml:space="preserve">ofrojnë </w:t>
      </w:r>
      <w:r w:rsidR="00161310" w:rsidRPr="00C55940">
        <w:rPr>
          <w:color w:val="auto"/>
        </w:rPr>
        <w:t xml:space="preserve"> aplikim më të lehtë dhe më të qartë të dispozitave t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përmbushjes tatimore. </w:t>
      </w:r>
    </w:p>
    <w:p w:rsidR="0073788B" w:rsidRPr="00C55940" w:rsidRDefault="0073788B" w:rsidP="008D67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61310" w:rsidRPr="00C55940" w:rsidRDefault="00161310" w:rsidP="008D672D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C55940">
        <w:rPr>
          <w:color w:val="auto"/>
        </w:rPr>
        <w:t xml:space="preserve">Ndryshimet do të adresojnë strukturën e </w:t>
      </w:r>
      <w:r w:rsidR="0073788B" w:rsidRPr="00C55940">
        <w:rPr>
          <w:color w:val="auto"/>
        </w:rPr>
        <w:t>ligjeve m</w:t>
      </w:r>
      <w:r w:rsidR="00207555" w:rsidRPr="00C55940">
        <w:rPr>
          <w:color w:val="auto"/>
        </w:rPr>
        <w:t>ë</w:t>
      </w:r>
      <w:r w:rsidR="0073788B" w:rsidRPr="00C55940">
        <w:rPr>
          <w:color w:val="auto"/>
        </w:rPr>
        <w:t xml:space="preserve"> </w:t>
      </w:r>
      <w:r w:rsidRPr="00C55940">
        <w:rPr>
          <w:color w:val="auto"/>
        </w:rPr>
        <w:t xml:space="preserve"> objektiv të sqarimit  dhe aplikimit më të lehtë</w:t>
      </w:r>
      <w:r w:rsidR="0073788B" w:rsidRPr="00C55940">
        <w:rPr>
          <w:color w:val="auto"/>
        </w:rPr>
        <w:t xml:space="preserve"> në praktikë t</w:t>
      </w:r>
      <w:r w:rsidR="00207555" w:rsidRPr="00C55940">
        <w:rPr>
          <w:color w:val="auto"/>
        </w:rPr>
        <w:t>ë</w:t>
      </w:r>
      <w:r w:rsidR="0073788B" w:rsidRPr="00C55940">
        <w:rPr>
          <w:color w:val="auto"/>
        </w:rPr>
        <w:t xml:space="preserve"> legjislacionit tatimor</w:t>
      </w:r>
      <w:r w:rsidRPr="00C55940">
        <w:rPr>
          <w:color w:val="auto"/>
        </w:rPr>
        <w:t>. Ndryshimet e tilla përfshijnë g</w:t>
      </w:r>
      <w:r w:rsidR="0073788B" w:rsidRPr="00C55940">
        <w:rPr>
          <w:color w:val="auto"/>
        </w:rPr>
        <w:t>jithashtu thjeshtësimin e ligjeve</w:t>
      </w:r>
      <w:r w:rsidRPr="00C55940">
        <w:rPr>
          <w:color w:val="auto"/>
        </w:rPr>
        <w:t xml:space="preserve"> duke përpiluar dispozitat e përgjithshme kur kjo është e mundur, dhe dispozitat e veçanta vetëm kur dispozitat e përgjithshme nuk janë të mjaftueshme. </w:t>
      </w:r>
    </w:p>
    <w:p w:rsidR="00161310" w:rsidRPr="00C55940" w:rsidRDefault="00161310" w:rsidP="008D672D">
      <w:pPr>
        <w:pStyle w:val="Default"/>
        <w:jc w:val="both"/>
        <w:rPr>
          <w:color w:val="auto"/>
        </w:rPr>
      </w:pPr>
    </w:p>
    <w:p w:rsidR="00161310" w:rsidRPr="00C55940" w:rsidRDefault="00161310" w:rsidP="008D672D">
      <w:pPr>
        <w:pStyle w:val="Default"/>
        <w:jc w:val="both"/>
        <w:rPr>
          <w:color w:val="auto"/>
        </w:rPr>
      </w:pPr>
      <w:r w:rsidRPr="00C55940">
        <w:rPr>
          <w:color w:val="auto"/>
        </w:rPr>
        <w:t>Ndryshimet gjithashtu do të sqarojnë dispozita të caktuara të ligjit material dhe do të shtohen dispozita për të përmbushur standardet ndërkombëta</w:t>
      </w:r>
      <w:r w:rsidR="0073788B" w:rsidRPr="00C55940">
        <w:rPr>
          <w:color w:val="auto"/>
        </w:rPr>
        <w:t>re. Në fund, përmirësimet në ligjet ekzistuese</w:t>
      </w:r>
      <w:r w:rsidRPr="00C55940">
        <w:rPr>
          <w:color w:val="auto"/>
        </w:rPr>
        <w:t xml:space="preserve"> do të</w:t>
      </w:r>
      <w:r w:rsidR="0073788B" w:rsidRPr="00C55940">
        <w:rPr>
          <w:color w:val="auto"/>
        </w:rPr>
        <w:t xml:space="preserve"> sqarojnë më tej aplikimin e tyre</w:t>
      </w:r>
      <w:r w:rsidRPr="00C55940">
        <w:rPr>
          <w:color w:val="auto"/>
        </w:rPr>
        <w:t xml:space="preserve">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funksion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përmbushjes më te drejt</w:t>
      </w:r>
      <w:r w:rsidR="0073788B" w:rsidRPr="00C55940">
        <w:rPr>
          <w:color w:val="auto"/>
        </w:rPr>
        <w:t>ë</w:t>
      </w:r>
      <w:r w:rsidRPr="00C55940">
        <w:rPr>
          <w:color w:val="auto"/>
        </w:rPr>
        <w:t xml:space="preserve">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tatimeve. </w:t>
      </w:r>
    </w:p>
    <w:p w:rsidR="00161310" w:rsidRPr="00C55940" w:rsidRDefault="00161310" w:rsidP="008D672D">
      <w:pPr>
        <w:pStyle w:val="Default"/>
        <w:ind w:left="720"/>
        <w:jc w:val="both"/>
        <w:rPr>
          <w:b/>
          <w:bCs/>
          <w:color w:val="auto"/>
        </w:rPr>
      </w:pPr>
    </w:p>
    <w:p w:rsidR="001B4778" w:rsidRPr="00C55940" w:rsidRDefault="001B4778" w:rsidP="008D672D">
      <w:pPr>
        <w:pStyle w:val="Default"/>
        <w:ind w:left="720"/>
        <w:jc w:val="both"/>
        <w:rPr>
          <w:b/>
          <w:bCs/>
          <w:color w:val="auto"/>
        </w:rPr>
      </w:pPr>
    </w:p>
    <w:p w:rsidR="001B4778" w:rsidRPr="00C55940" w:rsidRDefault="001B4778" w:rsidP="008D672D">
      <w:pPr>
        <w:pStyle w:val="Default"/>
        <w:ind w:left="720"/>
        <w:jc w:val="both"/>
        <w:rPr>
          <w:b/>
          <w:bCs/>
          <w:color w:val="auto"/>
        </w:rPr>
      </w:pPr>
    </w:p>
    <w:p w:rsidR="001B4778" w:rsidRPr="00C55940" w:rsidRDefault="001B4778" w:rsidP="008D672D">
      <w:pPr>
        <w:pStyle w:val="Default"/>
        <w:ind w:left="720"/>
        <w:jc w:val="both"/>
        <w:rPr>
          <w:b/>
          <w:bCs/>
          <w:color w:val="auto"/>
        </w:rPr>
      </w:pPr>
    </w:p>
    <w:p w:rsidR="00C951F7" w:rsidRDefault="00C951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1B4778" w:rsidRPr="00C55940" w:rsidRDefault="001B4778" w:rsidP="008D672D">
      <w:pPr>
        <w:pStyle w:val="Default"/>
        <w:ind w:left="720"/>
        <w:jc w:val="both"/>
        <w:rPr>
          <w:b/>
          <w:bCs/>
          <w:color w:val="auto"/>
        </w:rPr>
      </w:pPr>
    </w:p>
    <w:p w:rsidR="00161310" w:rsidRPr="0089523B" w:rsidRDefault="00161310" w:rsidP="0089523B">
      <w:pPr>
        <w:pStyle w:val="Heading1"/>
        <w:numPr>
          <w:ilvl w:val="0"/>
          <w:numId w:val="14"/>
        </w:numPr>
        <w:rPr>
          <w:rFonts w:ascii="Times New Roman" w:hAnsi="Times New Roman" w:cs="Times New Roman"/>
          <w:b/>
          <w:color w:val="000099"/>
          <w:sz w:val="28"/>
          <w:szCs w:val="24"/>
        </w:rPr>
      </w:pPr>
      <w:bookmarkStart w:id="6" w:name="_Toc504390427"/>
      <w:r w:rsidRPr="0089523B">
        <w:rPr>
          <w:rFonts w:ascii="Times New Roman" w:hAnsi="Times New Roman" w:cs="Times New Roman"/>
          <w:b/>
          <w:color w:val="000099"/>
          <w:sz w:val="28"/>
          <w:szCs w:val="24"/>
        </w:rPr>
        <w:t>Elementet kryesore të politikës së propozuar</w:t>
      </w:r>
      <w:bookmarkEnd w:id="6"/>
    </w:p>
    <w:p w:rsidR="00161310" w:rsidRPr="00C55940" w:rsidRDefault="00161310" w:rsidP="008D672D">
      <w:pPr>
        <w:pStyle w:val="Default"/>
        <w:jc w:val="both"/>
        <w:rPr>
          <w:color w:val="auto"/>
        </w:rPr>
      </w:pPr>
    </w:p>
    <w:p w:rsidR="00161310" w:rsidRPr="00C55940" w:rsidRDefault="00161310" w:rsidP="008D672D">
      <w:pPr>
        <w:pStyle w:val="Default"/>
        <w:jc w:val="both"/>
        <w:rPr>
          <w:color w:val="auto"/>
        </w:rPr>
      </w:pPr>
      <w:r w:rsidRPr="00C55940">
        <w:rPr>
          <w:color w:val="auto"/>
        </w:rPr>
        <w:t xml:space="preserve">Elementet kryesore të politikës së propozuar që duhet të trajtohen me </w:t>
      </w:r>
      <w:r w:rsidR="0073788B" w:rsidRPr="00C55940">
        <w:rPr>
          <w:color w:val="auto"/>
        </w:rPr>
        <w:t>këto katër p</w:t>
      </w:r>
      <w:r w:rsidRPr="00C55940">
        <w:rPr>
          <w:color w:val="auto"/>
        </w:rPr>
        <w:t>rojektligj</w:t>
      </w:r>
      <w:r w:rsidR="0073788B" w:rsidRPr="00C55940">
        <w:rPr>
          <w:color w:val="auto"/>
        </w:rPr>
        <w:t>e</w:t>
      </w:r>
      <w:r w:rsidRPr="00C55940">
        <w:rPr>
          <w:color w:val="auto"/>
        </w:rPr>
        <w:t xml:space="preserve"> do të përqendrohen në aspektin përmbajtjesor dhe në atë teknik. </w:t>
      </w:r>
    </w:p>
    <w:p w:rsidR="001B4778" w:rsidRPr="00C55940" w:rsidRDefault="001B4778" w:rsidP="008D672D">
      <w:pPr>
        <w:pStyle w:val="Default"/>
        <w:jc w:val="both"/>
        <w:rPr>
          <w:color w:val="auto"/>
        </w:rPr>
      </w:pPr>
    </w:p>
    <w:p w:rsidR="00161310" w:rsidRDefault="00161310" w:rsidP="008D672D">
      <w:pPr>
        <w:pStyle w:val="Default"/>
        <w:jc w:val="both"/>
        <w:rPr>
          <w:color w:val="auto"/>
        </w:rPr>
      </w:pPr>
      <w:r w:rsidRPr="00C55940">
        <w:rPr>
          <w:color w:val="auto"/>
        </w:rPr>
        <w:t xml:space="preserve">Disa nga ndryshimet përmbajtjesore të kërkuara, por duke mos u limituar, janë si në vijim: </w:t>
      </w:r>
    </w:p>
    <w:p w:rsidR="006C2CC8" w:rsidRPr="00C55940" w:rsidRDefault="006C2CC8" w:rsidP="008D672D">
      <w:pPr>
        <w:pStyle w:val="Default"/>
        <w:jc w:val="both"/>
        <w:rPr>
          <w:color w:val="auto"/>
        </w:rPr>
      </w:pPr>
    </w:p>
    <w:p w:rsidR="00224CCF" w:rsidRDefault="00224CCF" w:rsidP="008D672D">
      <w:pPr>
        <w:pStyle w:val="Default"/>
        <w:jc w:val="both"/>
        <w:rPr>
          <w:color w:val="auto"/>
        </w:rPr>
      </w:pPr>
    </w:p>
    <w:p w:rsidR="00AD00B7" w:rsidRPr="00C55940" w:rsidRDefault="00AD00B7" w:rsidP="008D672D">
      <w:pPr>
        <w:pStyle w:val="Default"/>
        <w:jc w:val="both"/>
        <w:rPr>
          <w:color w:val="auto"/>
        </w:rPr>
      </w:pPr>
    </w:p>
    <w:p w:rsidR="00161310" w:rsidRPr="006C2CC8" w:rsidRDefault="00FF25F5" w:rsidP="006C2CC8">
      <w:pPr>
        <w:pStyle w:val="Heading2"/>
        <w:shd w:val="clear" w:color="auto" w:fill="E5B8B7" w:themeFill="accent2" w:themeFillTint="66"/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7" w:name="_Toc504390428"/>
      <w:r w:rsidRPr="006C2CC8">
        <w:rPr>
          <w:rFonts w:ascii="Times New Roman" w:hAnsi="Times New Roman" w:cs="Times New Roman"/>
          <w:b/>
          <w:color w:val="auto"/>
          <w:sz w:val="28"/>
          <w:szCs w:val="24"/>
        </w:rPr>
        <w:t>Ligji për Administratën Tatimore dhe Procedurat:</w:t>
      </w:r>
      <w:bookmarkEnd w:id="7"/>
    </w:p>
    <w:p w:rsidR="00FF25F5" w:rsidRPr="00C55940" w:rsidRDefault="00FF25F5" w:rsidP="008D672D">
      <w:pPr>
        <w:pStyle w:val="Default"/>
        <w:jc w:val="both"/>
        <w:rPr>
          <w:color w:val="auto"/>
        </w:rPr>
      </w:pPr>
    </w:p>
    <w:p w:rsidR="00161310" w:rsidRPr="00C55940" w:rsidRDefault="00161310" w:rsidP="000A52FD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6C2CC8">
        <w:rPr>
          <w:b/>
          <w:bCs/>
          <w:color w:val="auto"/>
          <w:u w:val="single"/>
        </w:rPr>
        <w:t>Neni 1</w:t>
      </w:r>
      <w:r w:rsidR="00C951F7">
        <w:rPr>
          <w:b/>
          <w:bCs/>
          <w:color w:val="auto"/>
          <w:u w:val="single"/>
        </w:rPr>
        <w:t xml:space="preserve">, </w:t>
      </w:r>
      <w:r w:rsidRPr="006C2CC8">
        <w:rPr>
          <w:b/>
          <w:bCs/>
          <w:color w:val="auto"/>
          <w:u w:val="single"/>
        </w:rPr>
        <w:t>Përkufizimet</w:t>
      </w:r>
      <w:r w:rsidRPr="00C55940">
        <w:rPr>
          <w:color w:val="auto"/>
        </w:rPr>
        <w:t xml:space="preserve">, </w:t>
      </w:r>
      <w:r w:rsidR="00F903C2" w:rsidRPr="00C55940">
        <w:rPr>
          <w:color w:val="auto"/>
        </w:rPr>
        <w:t>duhet t</w:t>
      </w:r>
      <w:r w:rsidR="00207555" w:rsidRPr="00C55940">
        <w:rPr>
          <w:color w:val="auto"/>
        </w:rPr>
        <w:t>ë</w:t>
      </w:r>
      <w:r w:rsidR="00F903C2" w:rsidRPr="00C55940">
        <w:rPr>
          <w:color w:val="auto"/>
        </w:rPr>
        <w:t xml:space="preserve"> riformulohet, me q</w:t>
      </w:r>
      <w:r w:rsidR="00207555" w:rsidRPr="00C55940">
        <w:rPr>
          <w:color w:val="auto"/>
        </w:rPr>
        <w:t>ë</w:t>
      </w:r>
      <w:r w:rsidR="00F903C2" w:rsidRPr="00C55940">
        <w:rPr>
          <w:color w:val="auto"/>
        </w:rPr>
        <w:t>llim t</w:t>
      </w:r>
      <w:r w:rsidR="00207555" w:rsidRPr="00C55940">
        <w:rPr>
          <w:color w:val="auto"/>
        </w:rPr>
        <w:t>ë</w:t>
      </w:r>
      <w:r w:rsidR="00F903C2" w:rsidRPr="00C55940">
        <w:rPr>
          <w:color w:val="auto"/>
        </w:rPr>
        <w:t xml:space="preserve"> </w:t>
      </w:r>
      <w:r w:rsidRPr="00C55940">
        <w:rPr>
          <w:color w:val="auto"/>
        </w:rPr>
        <w:t>zgjer</w:t>
      </w:r>
      <w:r w:rsidR="00F903C2" w:rsidRPr="00C55940">
        <w:rPr>
          <w:color w:val="auto"/>
        </w:rPr>
        <w:t>imit t</w:t>
      </w:r>
      <w:r w:rsidR="00207555" w:rsidRPr="00C55940">
        <w:rPr>
          <w:color w:val="auto"/>
        </w:rPr>
        <w:t>ë</w:t>
      </w:r>
      <w:r w:rsidR="00F903C2" w:rsidRPr="00C55940">
        <w:rPr>
          <w:color w:val="auto"/>
        </w:rPr>
        <w:t xml:space="preserve"> p</w:t>
      </w:r>
      <w:r w:rsidR="00207555" w:rsidRPr="00C55940">
        <w:rPr>
          <w:color w:val="auto"/>
        </w:rPr>
        <w:t>ë</w:t>
      </w:r>
      <w:r w:rsidR="00F903C2" w:rsidRPr="00C55940">
        <w:rPr>
          <w:color w:val="auto"/>
        </w:rPr>
        <w:t>rmbajtjes s</w:t>
      </w:r>
      <w:r w:rsidR="00207555" w:rsidRPr="00C55940">
        <w:rPr>
          <w:color w:val="auto"/>
        </w:rPr>
        <w:t>ë</w:t>
      </w:r>
      <w:r w:rsidR="00F903C2" w:rsidRPr="00C55940">
        <w:rPr>
          <w:color w:val="auto"/>
        </w:rPr>
        <w:t xml:space="preserve"> </w:t>
      </w:r>
      <w:r w:rsidRPr="00C55940">
        <w:rPr>
          <w:color w:val="auto"/>
        </w:rPr>
        <w:t xml:space="preserve"> përkufizime</w:t>
      </w:r>
      <w:r w:rsidR="00F903C2" w:rsidRPr="00C55940">
        <w:rPr>
          <w:color w:val="auto"/>
        </w:rPr>
        <w:t>ve q</w:t>
      </w:r>
      <w:r w:rsidR="00207555" w:rsidRPr="00C55940">
        <w:rPr>
          <w:color w:val="auto"/>
        </w:rPr>
        <w:t>ë</w:t>
      </w:r>
      <w:r w:rsidR="00F903C2" w:rsidRPr="00C55940">
        <w:rPr>
          <w:color w:val="auto"/>
        </w:rPr>
        <w:t xml:space="preserve"> </w:t>
      </w:r>
      <w:r w:rsidRPr="00C55940">
        <w:rPr>
          <w:color w:val="auto"/>
        </w:rPr>
        <w:t>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jen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harmoni me zhvillimet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modernizimin e shërbimeve elektronike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veçanti dhe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përmbushjen tatimore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përgjithësi. Posaçërisht janë identifikua</w:t>
      </w:r>
      <w:r w:rsidR="00F903C2" w:rsidRPr="00C55940">
        <w:rPr>
          <w:color w:val="auto"/>
        </w:rPr>
        <w:t>r</w:t>
      </w:r>
      <w:r w:rsidR="0024552B" w:rsidRPr="00C55940">
        <w:rPr>
          <w:color w:val="auto"/>
        </w:rPr>
        <w:t xml:space="preserve"> </w:t>
      </w:r>
      <w:r w:rsidR="00F903C2" w:rsidRPr="00C55940">
        <w:rPr>
          <w:color w:val="auto"/>
        </w:rPr>
        <w:t>p</w:t>
      </w:r>
      <w:r w:rsidR="00207555" w:rsidRPr="00C55940">
        <w:rPr>
          <w:color w:val="auto"/>
        </w:rPr>
        <w:t>ë</w:t>
      </w:r>
      <w:r w:rsidR="00F903C2" w:rsidRPr="00C55940">
        <w:rPr>
          <w:color w:val="auto"/>
        </w:rPr>
        <w:t>r riformulim paragraf</w:t>
      </w:r>
      <w:r w:rsidR="00207555" w:rsidRPr="00C55940">
        <w:rPr>
          <w:color w:val="auto"/>
        </w:rPr>
        <w:t>ë</w:t>
      </w:r>
      <w:r w:rsidR="00F903C2" w:rsidRPr="00C55940">
        <w:rPr>
          <w:color w:val="auto"/>
        </w:rPr>
        <w:t xml:space="preserve">t: </w:t>
      </w:r>
      <w:r w:rsidRPr="00C55940">
        <w:rPr>
          <w:color w:val="auto"/>
        </w:rPr>
        <w:t>1.8. Pasqyr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informatash</w:t>
      </w:r>
      <w:r w:rsidR="00F903C2" w:rsidRPr="00C55940">
        <w:rPr>
          <w:color w:val="auto"/>
        </w:rPr>
        <w:t>;</w:t>
      </w:r>
      <w:r w:rsidRPr="00C55940">
        <w:rPr>
          <w:color w:val="auto"/>
        </w:rPr>
        <w:t xml:space="preserve"> 1.9. Deklarat</w:t>
      </w:r>
      <w:r w:rsidR="00F903C2" w:rsidRPr="00C55940">
        <w:rPr>
          <w:color w:val="auto"/>
        </w:rPr>
        <w:t>ë</w:t>
      </w:r>
      <w:r w:rsidRPr="00C55940">
        <w:rPr>
          <w:color w:val="auto"/>
        </w:rPr>
        <w:t xml:space="preserve"> tatimore</w:t>
      </w:r>
      <w:r w:rsidR="00F903C2" w:rsidRPr="00C55940">
        <w:rPr>
          <w:color w:val="auto"/>
        </w:rPr>
        <w:t>;</w:t>
      </w:r>
      <w:r w:rsidRPr="00C55940">
        <w:rPr>
          <w:color w:val="auto"/>
        </w:rPr>
        <w:t xml:space="preserve"> 1.11. Dorëzim</w:t>
      </w:r>
      <w:r w:rsidR="00F903C2" w:rsidRPr="00C55940">
        <w:rPr>
          <w:color w:val="auto"/>
        </w:rPr>
        <w:t xml:space="preserve">; </w:t>
      </w:r>
      <w:r w:rsidRPr="00C55940">
        <w:rPr>
          <w:color w:val="auto"/>
        </w:rPr>
        <w:t>1.24. Periudh</w:t>
      </w:r>
      <w:r w:rsidR="00F903C2" w:rsidRPr="00C55940">
        <w:rPr>
          <w:color w:val="auto"/>
        </w:rPr>
        <w:t>ë</w:t>
      </w:r>
      <w:r w:rsidRPr="00C55940">
        <w:rPr>
          <w:color w:val="auto"/>
        </w:rPr>
        <w:t xml:space="preserve"> tatimore, 1.41. Tatimpagues, 1.42. Transferimi i </w:t>
      </w:r>
      <w:proofErr w:type="spellStart"/>
      <w:r w:rsidRPr="00C55940">
        <w:rPr>
          <w:color w:val="auto"/>
        </w:rPr>
        <w:t>aseteve</w:t>
      </w:r>
      <w:proofErr w:type="spellEnd"/>
      <w:r w:rsidRPr="00C55940">
        <w:rPr>
          <w:color w:val="auto"/>
        </w:rPr>
        <w:t xml:space="preserve">, etj. </w:t>
      </w:r>
    </w:p>
    <w:p w:rsidR="00161310" w:rsidRPr="00C55940" w:rsidRDefault="00161310" w:rsidP="008D672D">
      <w:pPr>
        <w:pStyle w:val="Default"/>
        <w:jc w:val="both"/>
        <w:rPr>
          <w:color w:val="auto"/>
        </w:rPr>
      </w:pPr>
    </w:p>
    <w:p w:rsidR="000A52FD" w:rsidRPr="00C55940" w:rsidRDefault="00161310" w:rsidP="008D672D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6C2CC8">
        <w:rPr>
          <w:b/>
          <w:bCs/>
          <w:color w:val="auto"/>
          <w:u w:val="single"/>
        </w:rPr>
        <w:t>Neni 2</w:t>
      </w:r>
      <w:r w:rsidR="00C951F7">
        <w:rPr>
          <w:b/>
          <w:bCs/>
          <w:color w:val="auto"/>
          <w:u w:val="single"/>
        </w:rPr>
        <w:t>,</w:t>
      </w:r>
      <w:r w:rsidRPr="006C2CC8">
        <w:rPr>
          <w:b/>
          <w:bCs/>
          <w:color w:val="auto"/>
          <w:u w:val="single"/>
        </w:rPr>
        <w:t xml:space="preserve"> Administrata Tatimore e Kosovës</w:t>
      </w:r>
      <w:r w:rsidR="006C2CC8">
        <w:rPr>
          <w:b/>
          <w:bCs/>
          <w:color w:val="auto"/>
        </w:rPr>
        <w:t xml:space="preserve">, </w:t>
      </w:r>
      <w:r w:rsidR="006C2CC8">
        <w:rPr>
          <w:color w:val="auto"/>
        </w:rPr>
        <w:t>m</w:t>
      </w:r>
      <w:r w:rsidRPr="00C55940">
        <w:rPr>
          <w:color w:val="auto"/>
        </w:rPr>
        <w:t>e reformën e re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konsolidimit dhe ri formatimit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Institucioneve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</w:t>
      </w:r>
      <w:proofErr w:type="spellStart"/>
      <w:r w:rsidRPr="00C55940">
        <w:rPr>
          <w:color w:val="auto"/>
        </w:rPr>
        <w:t>t</w:t>
      </w:r>
      <w:r w:rsidR="00207555" w:rsidRPr="00C55940">
        <w:rPr>
          <w:color w:val="auto"/>
        </w:rPr>
        <w:t>ë</w:t>
      </w:r>
      <w:proofErr w:type="spellEnd"/>
      <w:r w:rsidRPr="00C55940">
        <w:rPr>
          <w:color w:val="auto"/>
        </w:rPr>
        <w:t xml:space="preserve"> hyrave (Doganë dhe ATK)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një agjenci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vetme, propozimi p</w:t>
      </w:r>
      <w:r w:rsidR="00207555" w:rsidRPr="00C55940">
        <w:rPr>
          <w:color w:val="auto"/>
        </w:rPr>
        <w:t>ë</w:t>
      </w:r>
      <w:r w:rsidR="000A52FD" w:rsidRPr="00C55940">
        <w:rPr>
          <w:color w:val="auto"/>
        </w:rPr>
        <w:t>r trajtim ligjor mund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ndikoj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rolin dhe përgjegjësitë e ATK-së dhe funksionet e ATK-s</w:t>
      </w:r>
      <w:r w:rsidR="00207555" w:rsidRPr="00C55940">
        <w:rPr>
          <w:color w:val="auto"/>
        </w:rPr>
        <w:t>ë</w:t>
      </w:r>
      <w:r w:rsidR="000A52FD" w:rsidRPr="00C55940">
        <w:rPr>
          <w:color w:val="auto"/>
        </w:rPr>
        <w:t>.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funksion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këtij ndryshimi duhet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rishikohet edhe roli i ardhshëm i ATK-së. Shembulli i Sllovenisë dhe Kroacisë është </w:t>
      </w:r>
      <w:r w:rsidR="000A52FD" w:rsidRPr="00C55940">
        <w:rPr>
          <w:color w:val="auto"/>
        </w:rPr>
        <w:t>model shum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praktik i organizimit dhe funksionimit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Tatimeve dhe Administratës. Kanë ligje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veçanta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Institucionit (Administratës Tatimore) dhe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Procedurave tatimore dhe administrative. Grupi rekomandon q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ky model i organizimit dhe funksionimit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jetë edhe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versionet p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r Ligjin e ardhshëm. </w:t>
      </w:r>
    </w:p>
    <w:p w:rsidR="00161310" w:rsidRPr="00C55940" w:rsidRDefault="00161310" w:rsidP="000A52FD">
      <w:pPr>
        <w:pStyle w:val="Default"/>
        <w:ind w:left="720"/>
        <w:jc w:val="both"/>
        <w:rPr>
          <w:color w:val="auto"/>
        </w:rPr>
      </w:pPr>
      <w:r w:rsidRPr="00C55940">
        <w:rPr>
          <w:color w:val="auto"/>
        </w:rPr>
        <w:t>Ne mënyrë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veçant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duhet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përcaktohet e drejta e krijimit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zyrës s</w:t>
      </w:r>
      <w:r w:rsidR="00207555" w:rsidRPr="00C55940">
        <w:rPr>
          <w:color w:val="auto"/>
        </w:rPr>
        <w:t>ë</w:t>
      </w:r>
      <w:r w:rsidR="000A52FD" w:rsidRPr="00C55940">
        <w:rPr>
          <w:color w:val="auto"/>
        </w:rPr>
        <w:t xml:space="preserve"> Avokatit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tatimpaguesve dhe detyrat e këtij funksioni, pavarësisht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drejtës për krijimin e strukturës organizative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ATK-s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. </w:t>
      </w:r>
    </w:p>
    <w:p w:rsidR="00161310" w:rsidRPr="00C55940" w:rsidRDefault="00161310" w:rsidP="008D672D">
      <w:pPr>
        <w:pStyle w:val="Default"/>
        <w:jc w:val="both"/>
        <w:rPr>
          <w:color w:val="auto"/>
        </w:rPr>
      </w:pPr>
    </w:p>
    <w:p w:rsidR="00161310" w:rsidRPr="00C55940" w:rsidRDefault="00161310" w:rsidP="008D672D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6C2CC8">
        <w:rPr>
          <w:b/>
          <w:bCs/>
          <w:color w:val="auto"/>
          <w:u w:val="single"/>
        </w:rPr>
        <w:t>Neni 3</w:t>
      </w:r>
      <w:r w:rsidR="00C951F7">
        <w:rPr>
          <w:b/>
          <w:bCs/>
          <w:color w:val="auto"/>
          <w:u w:val="single"/>
        </w:rPr>
        <w:t>,</w:t>
      </w:r>
      <w:r w:rsidRPr="006C2CC8">
        <w:rPr>
          <w:b/>
          <w:bCs/>
          <w:color w:val="auto"/>
          <w:u w:val="single"/>
        </w:rPr>
        <w:t xml:space="preserve"> Drejtori i Përgjithshëm i ATK-së</w:t>
      </w:r>
      <w:r w:rsidR="00EE0524" w:rsidRPr="00C55940">
        <w:rPr>
          <w:b/>
          <w:bCs/>
          <w:color w:val="auto"/>
        </w:rPr>
        <w:t xml:space="preserve">, </w:t>
      </w:r>
      <w:r w:rsidRPr="00C55940">
        <w:rPr>
          <w:color w:val="auto"/>
        </w:rPr>
        <w:t>Përgjegjësitë e Drejtorit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ATK-s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përcaktuara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neni</w:t>
      </w:r>
      <w:r w:rsidR="00EE0524" w:rsidRPr="00C55940">
        <w:rPr>
          <w:color w:val="auto"/>
        </w:rPr>
        <w:t>n</w:t>
      </w:r>
      <w:r w:rsidRPr="00C55940">
        <w:rPr>
          <w:color w:val="auto"/>
        </w:rPr>
        <w:t xml:space="preserve"> 3 duhet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pasurohen edhe me mundësinë e përcaktimit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pagave (shpërblimeve)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veçanta për zyrtaret e saj,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bashkëpunim me Ministrin</w:t>
      </w:r>
      <w:r w:rsidR="00EE0524" w:rsidRPr="00C55940">
        <w:rPr>
          <w:color w:val="auto"/>
        </w:rPr>
        <w:t>ë</w:t>
      </w:r>
      <w:r w:rsidRPr="00C55940">
        <w:rPr>
          <w:color w:val="auto"/>
        </w:rPr>
        <w:t xml:space="preserve"> e Financave. Kjo mundësi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merret si model edhe Ligji slloven dhe kroat për këto Institucione.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mënyrë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veçantë rekomandohet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rishikohen dhe fuqizohen paragrafët 3.5 dhe 3.6. </w:t>
      </w:r>
    </w:p>
    <w:p w:rsidR="00161310" w:rsidRPr="00C55940" w:rsidRDefault="00161310" w:rsidP="008D672D">
      <w:pPr>
        <w:pStyle w:val="Default"/>
        <w:jc w:val="both"/>
        <w:rPr>
          <w:color w:val="auto"/>
        </w:rPr>
      </w:pPr>
    </w:p>
    <w:p w:rsidR="00161310" w:rsidRPr="00C55940" w:rsidRDefault="00161310" w:rsidP="008D672D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6C2CC8">
        <w:rPr>
          <w:b/>
          <w:bCs/>
          <w:iCs/>
          <w:color w:val="auto"/>
          <w:u w:val="single"/>
        </w:rPr>
        <w:t>Neni 11</w:t>
      </w:r>
      <w:r w:rsidR="00C951F7">
        <w:rPr>
          <w:b/>
          <w:bCs/>
          <w:iCs/>
          <w:color w:val="auto"/>
          <w:u w:val="single"/>
        </w:rPr>
        <w:t>,</w:t>
      </w:r>
      <w:r w:rsidRPr="006C2CC8">
        <w:rPr>
          <w:b/>
          <w:bCs/>
          <w:iCs/>
          <w:color w:val="auto"/>
          <w:u w:val="single"/>
        </w:rPr>
        <w:t xml:space="preserve"> Numri Fiskal dhe Pajisja me Certifikatë Fiskale</w:t>
      </w:r>
      <w:r w:rsidR="00EE0524" w:rsidRPr="00C55940">
        <w:rPr>
          <w:b/>
          <w:bCs/>
          <w:iCs/>
          <w:color w:val="auto"/>
        </w:rPr>
        <w:t xml:space="preserve">, </w:t>
      </w:r>
      <w:r w:rsidR="00EE0524" w:rsidRPr="00C55940">
        <w:rPr>
          <w:color w:val="auto"/>
        </w:rPr>
        <w:t>m</w:t>
      </w:r>
      <w:r w:rsidRPr="00C55940">
        <w:rPr>
          <w:color w:val="auto"/>
        </w:rPr>
        <w:t>e qellim q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t</w:t>
      </w:r>
      <w:r w:rsidR="00207555" w:rsidRPr="00C55940">
        <w:rPr>
          <w:color w:val="auto"/>
        </w:rPr>
        <w:t>ë</w:t>
      </w:r>
      <w:r w:rsidR="00EE0524" w:rsidRPr="00C55940">
        <w:rPr>
          <w:color w:val="auto"/>
        </w:rPr>
        <w:t xml:space="preserve"> kemi një baz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dhënash unike dhe evitimit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regjistrimit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dyfishtë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ARBK dhe ATK, konsiderojmë se </w:t>
      </w:r>
      <w:proofErr w:type="spellStart"/>
      <w:r w:rsidRPr="00C55940">
        <w:rPr>
          <w:color w:val="auto"/>
        </w:rPr>
        <w:t>Agjensioni</w:t>
      </w:r>
      <w:proofErr w:type="spellEnd"/>
      <w:r w:rsidRPr="00C55940">
        <w:rPr>
          <w:color w:val="auto"/>
        </w:rPr>
        <w:t xml:space="preserve"> për Regjistrimin e Bizneseve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Kosov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duhet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jet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i vetmi </w:t>
      </w:r>
      <w:proofErr w:type="spellStart"/>
      <w:r w:rsidRPr="00C55940">
        <w:rPr>
          <w:color w:val="auto"/>
        </w:rPr>
        <w:t>agjension</w:t>
      </w:r>
      <w:proofErr w:type="spellEnd"/>
      <w:r w:rsidRPr="00C55940">
        <w:rPr>
          <w:color w:val="auto"/>
        </w:rPr>
        <w:t xml:space="preserve"> q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mbanë regjistrin tregtar, kryen regjistrime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regjistrin tregtar, publikon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dhënat e regjistrit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mbajtur, bazuar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dispozitat e Ligjit mbi Shoqëritë Tregtare.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linje me zhvillimet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Teknologjinë Informative dhe standardizimin e procesit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regjistrimit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bizneseve, pajisjes s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tyre me Numër fiskal rekomandohet q</w:t>
      </w:r>
      <w:r w:rsidR="00207555" w:rsidRPr="00C55940">
        <w:rPr>
          <w:color w:val="auto"/>
        </w:rPr>
        <w:t>ë</w:t>
      </w:r>
      <w:r w:rsidR="00EE0524" w:rsidRPr="00C55940">
        <w:rPr>
          <w:color w:val="auto"/>
        </w:rPr>
        <w:t xml:space="preserve"> ky nen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r</w:t>
      </w:r>
      <w:r w:rsidR="00902CA6" w:rsidRPr="00C55940">
        <w:rPr>
          <w:color w:val="auto"/>
        </w:rPr>
        <w:t>iformulohet</w:t>
      </w:r>
      <w:r w:rsidRPr="00C55940">
        <w:rPr>
          <w:color w:val="auto"/>
        </w:rPr>
        <w:t xml:space="preserve">. </w:t>
      </w:r>
    </w:p>
    <w:p w:rsidR="00161310" w:rsidRPr="00C55940" w:rsidRDefault="00161310" w:rsidP="008D672D">
      <w:pPr>
        <w:pStyle w:val="Default"/>
        <w:jc w:val="both"/>
        <w:rPr>
          <w:color w:val="auto"/>
        </w:rPr>
      </w:pPr>
    </w:p>
    <w:p w:rsidR="00161310" w:rsidRPr="00C55940" w:rsidRDefault="00161310" w:rsidP="008D672D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6C2CC8">
        <w:rPr>
          <w:b/>
          <w:bCs/>
          <w:iCs/>
          <w:color w:val="auto"/>
          <w:u w:val="single"/>
        </w:rPr>
        <w:lastRenderedPageBreak/>
        <w:t>Neni 12</w:t>
      </w:r>
      <w:r w:rsidR="00C951F7">
        <w:rPr>
          <w:b/>
          <w:bCs/>
          <w:iCs/>
          <w:color w:val="auto"/>
          <w:u w:val="single"/>
        </w:rPr>
        <w:t>,</w:t>
      </w:r>
      <w:r w:rsidRPr="006C2CC8">
        <w:rPr>
          <w:b/>
          <w:bCs/>
          <w:iCs/>
          <w:color w:val="auto"/>
          <w:u w:val="single"/>
        </w:rPr>
        <w:t xml:space="preserve"> Çregjistrimi i Tatimpaguesve, të </w:t>
      </w:r>
      <w:r w:rsidR="00BB4C76" w:rsidRPr="006C2CC8">
        <w:rPr>
          <w:b/>
          <w:bCs/>
          <w:iCs/>
          <w:color w:val="auto"/>
          <w:u w:val="single"/>
        </w:rPr>
        <w:t>riformulohet</w:t>
      </w:r>
      <w:r w:rsidR="00EE0524" w:rsidRPr="00C55940">
        <w:rPr>
          <w:b/>
          <w:bCs/>
          <w:iCs/>
          <w:color w:val="auto"/>
        </w:rPr>
        <w:t xml:space="preserve">, </w:t>
      </w:r>
      <w:r w:rsidR="00EE0524" w:rsidRPr="00C55940">
        <w:rPr>
          <w:iCs/>
          <w:color w:val="auto"/>
        </w:rPr>
        <w:t>m</w:t>
      </w:r>
      <w:r w:rsidRPr="00C55940">
        <w:rPr>
          <w:iCs/>
          <w:color w:val="auto"/>
        </w:rPr>
        <w:t>e q</w:t>
      </w:r>
      <w:r w:rsidR="00207555" w:rsidRPr="00C55940">
        <w:rPr>
          <w:iCs/>
          <w:color w:val="auto"/>
        </w:rPr>
        <w:t>ë</w:t>
      </w:r>
      <w:r w:rsidRPr="00C55940">
        <w:rPr>
          <w:iCs/>
          <w:color w:val="auto"/>
        </w:rPr>
        <w:t>llim q</w:t>
      </w:r>
      <w:r w:rsidR="00207555" w:rsidRPr="00C55940">
        <w:rPr>
          <w:iCs/>
          <w:color w:val="auto"/>
        </w:rPr>
        <w:t>ë</w:t>
      </w:r>
      <w:r w:rsidR="00EE0524" w:rsidRPr="00C55940">
        <w:rPr>
          <w:iCs/>
          <w:color w:val="auto"/>
        </w:rPr>
        <w:t xml:space="preserve"> t</w:t>
      </w:r>
      <w:r w:rsidR="00207555" w:rsidRPr="00C55940">
        <w:rPr>
          <w:iCs/>
          <w:color w:val="auto"/>
        </w:rPr>
        <w:t>ë</w:t>
      </w:r>
      <w:r w:rsidRPr="00C55940">
        <w:rPr>
          <w:iCs/>
          <w:color w:val="auto"/>
        </w:rPr>
        <w:t xml:space="preserve"> kemi një baz</w:t>
      </w:r>
      <w:r w:rsidR="00207555" w:rsidRPr="00C55940">
        <w:rPr>
          <w:iCs/>
          <w:color w:val="auto"/>
        </w:rPr>
        <w:t>ë</w:t>
      </w:r>
      <w:r w:rsidRPr="00C55940">
        <w:rPr>
          <w:iCs/>
          <w:color w:val="auto"/>
        </w:rPr>
        <w:t xml:space="preserve"> t</w:t>
      </w:r>
      <w:r w:rsidR="00207555" w:rsidRPr="00C55940">
        <w:rPr>
          <w:iCs/>
          <w:color w:val="auto"/>
        </w:rPr>
        <w:t>ë</w:t>
      </w:r>
      <w:r w:rsidRPr="00C55940">
        <w:rPr>
          <w:iCs/>
          <w:color w:val="auto"/>
        </w:rPr>
        <w:t xml:space="preserve"> dhënash unike dhe evitimit t</w:t>
      </w:r>
      <w:r w:rsidR="00207555" w:rsidRPr="00C55940">
        <w:rPr>
          <w:iCs/>
          <w:color w:val="auto"/>
        </w:rPr>
        <w:t>ë</w:t>
      </w:r>
      <w:r w:rsidRPr="00C55940">
        <w:rPr>
          <w:iCs/>
          <w:color w:val="auto"/>
        </w:rPr>
        <w:t xml:space="preserve"> çregjistrimit t</w:t>
      </w:r>
      <w:r w:rsidR="00207555" w:rsidRPr="00C55940">
        <w:rPr>
          <w:iCs/>
          <w:color w:val="auto"/>
        </w:rPr>
        <w:t>ë</w:t>
      </w:r>
      <w:r w:rsidR="00EE0524" w:rsidRPr="00C55940">
        <w:rPr>
          <w:iCs/>
          <w:color w:val="auto"/>
        </w:rPr>
        <w:t xml:space="preserve"> dyfishtë n</w:t>
      </w:r>
      <w:r w:rsidR="00207555" w:rsidRPr="00C55940">
        <w:rPr>
          <w:iCs/>
          <w:color w:val="auto"/>
        </w:rPr>
        <w:t>ë</w:t>
      </w:r>
      <w:r w:rsidRPr="00C55940">
        <w:rPr>
          <w:iCs/>
          <w:color w:val="auto"/>
        </w:rPr>
        <w:t xml:space="preserve"> ARBK dhe ATK, konsiderojmë se </w:t>
      </w:r>
      <w:proofErr w:type="spellStart"/>
      <w:r w:rsidRPr="00C55940">
        <w:rPr>
          <w:iCs/>
          <w:color w:val="auto"/>
        </w:rPr>
        <w:t>Agjensioni</w:t>
      </w:r>
      <w:proofErr w:type="spellEnd"/>
      <w:r w:rsidRPr="00C55940">
        <w:rPr>
          <w:iCs/>
          <w:color w:val="auto"/>
        </w:rPr>
        <w:t xml:space="preserve"> për Regjistrimin e Bizneseve n</w:t>
      </w:r>
      <w:r w:rsidR="00207555" w:rsidRPr="00C55940">
        <w:rPr>
          <w:iCs/>
          <w:color w:val="auto"/>
        </w:rPr>
        <w:t>ë</w:t>
      </w:r>
      <w:r w:rsidRPr="00C55940">
        <w:rPr>
          <w:iCs/>
          <w:color w:val="auto"/>
        </w:rPr>
        <w:t xml:space="preserve"> Kosov</w:t>
      </w:r>
      <w:r w:rsidR="00207555" w:rsidRPr="00C55940">
        <w:rPr>
          <w:iCs/>
          <w:color w:val="auto"/>
        </w:rPr>
        <w:t>ë</w:t>
      </w:r>
      <w:r w:rsidRPr="00C55940">
        <w:rPr>
          <w:iCs/>
          <w:color w:val="auto"/>
        </w:rPr>
        <w:t xml:space="preserve"> duhet t</w:t>
      </w:r>
      <w:r w:rsidR="00207555" w:rsidRPr="00C55940">
        <w:rPr>
          <w:iCs/>
          <w:color w:val="auto"/>
        </w:rPr>
        <w:t>ë</w:t>
      </w:r>
      <w:r w:rsidRPr="00C55940">
        <w:rPr>
          <w:iCs/>
          <w:color w:val="auto"/>
        </w:rPr>
        <w:t xml:space="preserve"> jet</w:t>
      </w:r>
      <w:r w:rsidR="00207555" w:rsidRPr="00C55940">
        <w:rPr>
          <w:iCs/>
          <w:color w:val="auto"/>
        </w:rPr>
        <w:t>ë</w:t>
      </w:r>
      <w:r w:rsidRPr="00C55940">
        <w:rPr>
          <w:iCs/>
          <w:color w:val="auto"/>
        </w:rPr>
        <w:t xml:space="preserve"> i vetmi </w:t>
      </w:r>
      <w:proofErr w:type="spellStart"/>
      <w:r w:rsidRPr="00C55940">
        <w:rPr>
          <w:iCs/>
          <w:color w:val="auto"/>
        </w:rPr>
        <w:t>agjension</w:t>
      </w:r>
      <w:proofErr w:type="spellEnd"/>
      <w:r w:rsidRPr="00C55940">
        <w:rPr>
          <w:iCs/>
          <w:color w:val="auto"/>
        </w:rPr>
        <w:t xml:space="preserve"> q</w:t>
      </w:r>
      <w:r w:rsidR="00207555" w:rsidRPr="00C55940">
        <w:rPr>
          <w:iCs/>
          <w:color w:val="auto"/>
        </w:rPr>
        <w:t>ë</w:t>
      </w:r>
      <w:r w:rsidRPr="00C55940">
        <w:rPr>
          <w:iCs/>
          <w:color w:val="auto"/>
        </w:rPr>
        <w:t xml:space="preserve"> mbanë regjistrin tregtar, kryen regjistrime n</w:t>
      </w:r>
      <w:r w:rsidR="00207555" w:rsidRPr="00C55940">
        <w:rPr>
          <w:iCs/>
          <w:color w:val="auto"/>
        </w:rPr>
        <w:t>ë</w:t>
      </w:r>
      <w:r w:rsidRPr="00C55940">
        <w:rPr>
          <w:iCs/>
          <w:color w:val="auto"/>
        </w:rPr>
        <w:t xml:space="preserve"> regjistrin tregtar, publikon t</w:t>
      </w:r>
      <w:r w:rsidR="00207555" w:rsidRPr="00C55940">
        <w:rPr>
          <w:iCs/>
          <w:color w:val="auto"/>
        </w:rPr>
        <w:t>ë</w:t>
      </w:r>
      <w:r w:rsidRPr="00C55940">
        <w:rPr>
          <w:iCs/>
          <w:color w:val="auto"/>
        </w:rPr>
        <w:t xml:space="preserve"> dhënat e regjistrit t</w:t>
      </w:r>
      <w:r w:rsidR="00207555" w:rsidRPr="00C55940">
        <w:rPr>
          <w:iCs/>
          <w:color w:val="auto"/>
        </w:rPr>
        <w:t>ë</w:t>
      </w:r>
      <w:r w:rsidRPr="00C55940">
        <w:rPr>
          <w:iCs/>
          <w:color w:val="auto"/>
        </w:rPr>
        <w:t xml:space="preserve"> mbajtur, bazuar n</w:t>
      </w:r>
      <w:r w:rsidR="00207555" w:rsidRPr="00C55940">
        <w:rPr>
          <w:iCs/>
          <w:color w:val="auto"/>
        </w:rPr>
        <w:t>ë</w:t>
      </w:r>
      <w:r w:rsidRPr="00C55940">
        <w:rPr>
          <w:iCs/>
          <w:color w:val="auto"/>
        </w:rPr>
        <w:t xml:space="preserve"> dispozitat e Ligjit mbi Shoqëritë Tregtare. Ky nen duhet t</w:t>
      </w:r>
      <w:r w:rsidR="00207555" w:rsidRPr="00C55940">
        <w:rPr>
          <w:iCs/>
          <w:color w:val="auto"/>
        </w:rPr>
        <w:t>ë</w:t>
      </w:r>
      <w:r w:rsidR="00EE0524" w:rsidRPr="00C55940">
        <w:rPr>
          <w:iCs/>
          <w:color w:val="auto"/>
        </w:rPr>
        <w:t xml:space="preserve"> riformulohet dhe t</w:t>
      </w:r>
      <w:r w:rsidR="00207555" w:rsidRPr="00C55940">
        <w:rPr>
          <w:iCs/>
          <w:color w:val="auto"/>
        </w:rPr>
        <w:t>ë</w:t>
      </w:r>
      <w:r w:rsidRPr="00C55940">
        <w:rPr>
          <w:iCs/>
          <w:color w:val="auto"/>
        </w:rPr>
        <w:t xml:space="preserve"> jetë kusht për çregjistrim, plotësimi i kërkesave t</w:t>
      </w:r>
      <w:r w:rsidR="00207555" w:rsidRPr="00C55940">
        <w:rPr>
          <w:iCs/>
          <w:color w:val="auto"/>
        </w:rPr>
        <w:t>ë</w:t>
      </w:r>
      <w:r w:rsidRPr="00C55940">
        <w:rPr>
          <w:iCs/>
          <w:color w:val="auto"/>
        </w:rPr>
        <w:t xml:space="preserve"> ATK-së. </w:t>
      </w:r>
      <w:r w:rsidRPr="00C55940">
        <w:rPr>
          <w:color w:val="auto"/>
        </w:rPr>
        <w:t xml:space="preserve">Do të duhet të krijohet mundësia që nëse tatimpaguesi e njofton ATK-në për pushim të aktivitetit të tij për një periudhë tatimore të caktuar, të mos kërkohet nga ai dorëzim deklarate tatimore. Në këtë rast njoftimi i tij për pushim aktiviteti për një periudhë të caktuar të konsiderohet si deklaratë me zero. </w:t>
      </w:r>
    </w:p>
    <w:p w:rsidR="00161310" w:rsidRPr="00C55940" w:rsidRDefault="00161310" w:rsidP="008D672D">
      <w:pPr>
        <w:pStyle w:val="Default"/>
        <w:jc w:val="both"/>
        <w:rPr>
          <w:color w:val="auto"/>
        </w:rPr>
      </w:pPr>
    </w:p>
    <w:p w:rsidR="00161310" w:rsidRPr="00C55940" w:rsidRDefault="00161310" w:rsidP="008D672D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6C2CC8">
        <w:rPr>
          <w:b/>
          <w:bCs/>
          <w:color w:val="auto"/>
          <w:u w:val="single"/>
        </w:rPr>
        <w:t>Neni 13</w:t>
      </w:r>
      <w:r w:rsidR="00C951F7">
        <w:rPr>
          <w:b/>
          <w:bCs/>
          <w:color w:val="auto"/>
          <w:u w:val="single"/>
        </w:rPr>
        <w:t>,</w:t>
      </w:r>
      <w:r w:rsidRPr="006C2CC8">
        <w:rPr>
          <w:b/>
          <w:bCs/>
          <w:color w:val="auto"/>
          <w:u w:val="single"/>
        </w:rPr>
        <w:t xml:space="preserve"> Krijimi dhe mbajtja e regjistrave</w:t>
      </w:r>
      <w:r w:rsidR="00EE0524" w:rsidRPr="006C2CC8">
        <w:rPr>
          <w:b/>
          <w:bCs/>
          <w:color w:val="auto"/>
          <w:u w:val="single"/>
        </w:rPr>
        <w:t>, të riformulohet</w:t>
      </w:r>
      <w:r w:rsidR="006C2CC8">
        <w:rPr>
          <w:b/>
          <w:bCs/>
          <w:color w:val="auto"/>
        </w:rPr>
        <w:t xml:space="preserve">, </w:t>
      </w:r>
      <w:proofErr w:type="spellStart"/>
      <w:r w:rsidR="006C2CC8">
        <w:rPr>
          <w:color w:val="auto"/>
        </w:rPr>
        <w:t>p</w:t>
      </w:r>
      <w:r w:rsidRPr="00C55940">
        <w:rPr>
          <w:color w:val="auto"/>
        </w:rPr>
        <w:t>ragrafi</w:t>
      </w:r>
      <w:proofErr w:type="spellEnd"/>
      <w:r w:rsidRPr="00C55940">
        <w:rPr>
          <w:color w:val="auto"/>
        </w:rPr>
        <w:t xml:space="preserve"> 1 </w:t>
      </w:r>
      <w:r w:rsidR="0091257E" w:rsidRPr="00C55940">
        <w:rPr>
          <w:color w:val="auto"/>
        </w:rPr>
        <w:t>(gabim teknik</w:t>
      </w:r>
      <w:r w:rsidRPr="00C55940">
        <w:rPr>
          <w:b/>
          <w:bCs/>
          <w:color w:val="auto"/>
        </w:rPr>
        <w:t>)</w:t>
      </w:r>
      <w:r w:rsidR="00EE0524" w:rsidRPr="00C55940">
        <w:rPr>
          <w:b/>
          <w:bCs/>
          <w:color w:val="auto"/>
        </w:rPr>
        <w:t xml:space="preserve"> </w:t>
      </w:r>
      <w:r w:rsidRPr="00C55940">
        <w:rPr>
          <w:color w:val="auto"/>
        </w:rPr>
        <w:t>t</w:t>
      </w:r>
      <w:r w:rsidR="00EE0524" w:rsidRPr="00C55940">
        <w:rPr>
          <w:color w:val="auto"/>
        </w:rPr>
        <w:t>ë</w:t>
      </w:r>
      <w:r w:rsidRPr="00C55940">
        <w:rPr>
          <w:color w:val="auto"/>
        </w:rPr>
        <w:t xml:space="preserve"> fshihet kjo pjes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e tekstit sepse ka mbet </w:t>
      </w:r>
      <w:r w:rsidR="0091257E" w:rsidRPr="00C55940">
        <w:rPr>
          <w:color w:val="auto"/>
        </w:rPr>
        <w:t>pa dashje</w:t>
      </w:r>
      <w:r w:rsidRPr="00C55940">
        <w:rPr>
          <w:color w:val="auto"/>
        </w:rPr>
        <w:t xml:space="preserve"> “pjesa tjetër e tekstit mbetet e pandryshuar.” </w:t>
      </w:r>
    </w:p>
    <w:p w:rsidR="00161310" w:rsidRPr="00C55940" w:rsidRDefault="00161310" w:rsidP="00EE0524">
      <w:pPr>
        <w:pStyle w:val="Default"/>
        <w:ind w:left="720"/>
        <w:jc w:val="both"/>
        <w:rPr>
          <w:color w:val="auto"/>
        </w:rPr>
      </w:pPr>
      <w:r w:rsidRPr="00C55940">
        <w:rPr>
          <w:color w:val="auto"/>
        </w:rPr>
        <w:t>Ndryshimet eventuale q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vendosen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Ligjet Tatimore (TVSh, TAP dhe TAK), si dhe Ligjeve tjera (Raportimi Financiar dhe kontabilitet, Ligji për Kontributet Pensionale, etj.)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reflektohen edhe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Ligjin e Procedurave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mënyrë q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mos jen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kundërshti</w:t>
      </w:r>
      <w:r w:rsidR="00EE0524" w:rsidRPr="00C55940">
        <w:rPr>
          <w:color w:val="auto"/>
        </w:rPr>
        <w:t>m</w:t>
      </w:r>
      <w:r w:rsidRPr="00C55940">
        <w:rPr>
          <w:color w:val="auto"/>
        </w:rPr>
        <w:t xml:space="preserve"> me njëra tjetrën. Tek ky nen,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mënyrë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veçant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është propozua</w:t>
      </w:r>
      <w:r w:rsidR="00EE0524" w:rsidRPr="00C55940">
        <w:rPr>
          <w:color w:val="auto"/>
        </w:rPr>
        <w:t>r</w:t>
      </w:r>
      <w:r w:rsidRPr="00C55940">
        <w:rPr>
          <w:color w:val="auto"/>
        </w:rPr>
        <w:t xml:space="preserve">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riformulohen paragrafët 2.1, 4</w:t>
      </w:r>
      <w:r w:rsidR="0091257E" w:rsidRPr="00C55940">
        <w:rPr>
          <w:color w:val="auto"/>
        </w:rPr>
        <w:t xml:space="preserve"> dhe </w:t>
      </w:r>
      <w:r w:rsidRPr="00C55940">
        <w:rPr>
          <w:color w:val="auto"/>
        </w:rPr>
        <w:t>5. Duke pas parasysh ndikim</w:t>
      </w:r>
      <w:r w:rsidR="00EE0524" w:rsidRPr="00C55940">
        <w:rPr>
          <w:color w:val="auto"/>
        </w:rPr>
        <w:t>in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përmbushjen tatimore t</w:t>
      </w:r>
      <w:r w:rsidR="00207555" w:rsidRPr="00C55940">
        <w:rPr>
          <w:color w:val="auto"/>
        </w:rPr>
        <w:t>ë</w:t>
      </w:r>
      <w:r w:rsidR="00EE0524" w:rsidRPr="00C55940">
        <w:rPr>
          <w:color w:val="auto"/>
        </w:rPr>
        <w:t xml:space="preserve"> rregullit q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transaksionet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mes personave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përfshirë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aktivitete afariste, i cili ka përcaktua</w:t>
      </w:r>
      <w:r w:rsidR="00EE0524" w:rsidRPr="00C55940">
        <w:rPr>
          <w:color w:val="auto"/>
        </w:rPr>
        <w:t>r</w:t>
      </w:r>
      <w:r w:rsidRPr="00C55940">
        <w:rPr>
          <w:color w:val="auto"/>
        </w:rPr>
        <w:t xml:space="preserve"> q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“</w:t>
      </w:r>
      <w:r w:rsidRPr="00C55940">
        <w:rPr>
          <w:b/>
          <w:bCs/>
          <w:iCs/>
          <w:color w:val="auto"/>
        </w:rPr>
        <w:t>Çdo transaksion mbi pesëqind (500) euro</w:t>
      </w:r>
      <w:r w:rsidRPr="00C55940">
        <w:rPr>
          <w:color w:val="auto"/>
        </w:rPr>
        <w:t>, i bërë në mes të personave të përfshirë në aktivitet ekonomik, pas 1 janarit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vitit 2009 kërkohet të bëhet përmes llogarisë bankare</w:t>
      </w:r>
      <w:r w:rsidR="0091257E" w:rsidRPr="00C55940">
        <w:rPr>
          <w:color w:val="auto"/>
        </w:rPr>
        <w:t>.</w:t>
      </w:r>
    </w:p>
    <w:p w:rsidR="003A389C" w:rsidRPr="00C55940" w:rsidRDefault="003A389C" w:rsidP="008D672D">
      <w:pPr>
        <w:pStyle w:val="Default"/>
        <w:jc w:val="both"/>
        <w:rPr>
          <w:color w:val="auto"/>
        </w:rPr>
      </w:pPr>
    </w:p>
    <w:p w:rsidR="00161310" w:rsidRPr="00C55940" w:rsidRDefault="00161310" w:rsidP="008D672D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6C2CC8">
        <w:rPr>
          <w:b/>
          <w:bCs/>
          <w:color w:val="auto"/>
          <w:u w:val="single"/>
        </w:rPr>
        <w:t>Neni 15</w:t>
      </w:r>
      <w:r w:rsidR="00C951F7">
        <w:rPr>
          <w:b/>
          <w:bCs/>
          <w:color w:val="auto"/>
          <w:u w:val="single"/>
        </w:rPr>
        <w:t>,</w:t>
      </w:r>
      <w:r w:rsidRPr="006C2CC8">
        <w:rPr>
          <w:b/>
          <w:bCs/>
          <w:color w:val="auto"/>
          <w:u w:val="single"/>
        </w:rPr>
        <w:t xml:space="preserve"> Mbledhja e informatave ose provave</w:t>
      </w:r>
      <w:r w:rsidR="00EE0524" w:rsidRPr="00C55940">
        <w:rPr>
          <w:bCs/>
          <w:color w:val="auto"/>
        </w:rPr>
        <w:t xml:space="preserve">, </w:t>
      </w:r>
      <w:r w:rsidR="00EE0524" w:rsidRPr="00C55940">
        <w:rPr>
          <w:color w:val="auto"/>
        </w:rPr>
        <w:t>p</w:t>
      </w:r>
      <w:r w:rsidRPr="00C55940">
        <w:rPr>
          <w:color w:val="auto"/>
        </w:rPr>
        <w:t>aragrafi 3</w:t>
      </w:r>
      <w:r w:rsidR="00EE0524" w:rsidRPr="00C55940">
        <w:rPr>
          <w:color w:val="auto"/>
        </w:rPr>
        <w:t>, ç</w:t>
      </w:r>
      <w:r w:rsidRPr="00C55940">
        <w:rPr>
          <w:color w:val="auto"/>
        </w:rPr>
        <w:t xml:space="preserve">do person i cili nuk paraqitet në kohën dhe vendin e specifikuar, apo për të dhënë informatat, në përgjigje të kërkesave për informata të përshkruara në paragrafin 1 të këtij Neni, do t’i nënshtrohen </w:t>
      </w:r>
      <w:r w:rsidRPr="00C55940">
        <w:rPr>
          <w:bCs/>
          <w:color w:val="auto"/>
        </w:rPr>
        <w:t xml:space="preserve">gjobës pesëqind (500) euro. </w:t>
      </w:r>
    </w:p>
    <w:p w:rsidR="00161310" w:rsidRPr="00C55940" w:rsidRDefault="00161310" w:rsidP="00EE0524">
      <w:pPr>
        <w:pStyle w:val="Default"/>
        <w:ind w:left="720"/>
        <w:jc w:val="both"/>
        <w:rPr>
          <w:color w:val="auto"/>
        </w:rPr>
      </w:pPr>
      <w:r w:rsidRPr="00C55940">
        <w:rPr>
          <w:bCs/>
          <w:color w:val="auto"/>
        </w:rPr>
        <w:t>Duhet t</w:t>
      </w:r>
      <w:r w:rsidR="00207555" w:rsidRPr="00C55940">
        <w:rPr>
          <w:bCs/>
          <w:color w:val="auto"/>
        </w:rPr>
        <w:t>ë</w:t>
      </w:r>
      <w:r w:rsidRPr="00C55940">
        <w:rPr>
          <w:bCs/>
          <w:color w:val="auto"/>
        </w:rPr>
        <w:t xml:space="preserve"> jetë pjes</w:t>
      </w:r>
      <w:r w:rsidR="00207555" w:rsidRPr="00C55940">
        <w:rPr>
          <w:bCs/>
          <w:color w:val="auto"/>
        </w:rPr>
        <w:t>ë</w:t>
      </w:r>
      <w:r w:rsidRPr="00C55940">
        <w:rPr>
          <w:bCs/>
          <w:color w:val="auto"/>
        </w:rPr>
        <w:t xml:space="preserve"> e një analize për zbatimin e saj nga ATK, dhe nëse rezulton analiza me interes p</w:t>
      </w:r>
      <w:r w:rsidR="00207555" w:rsidRPr="00C55940">
        <w:rPr>
          <w:bCs/>
          <w:color w:val="auto"/>
        </w:rPr>
        <w:t>ë</w:t>
      </w:r>
      <w:r w:rsidRPr="00C55940">
        <w:rPr>
          <w:bCs/>
          <w:color w:val="auto"/>
        </w:rPr>
        <w:t>r përmbushjen, t</w:t>
      </w:r>
      <w:r w:rsidR="00207555" w:rsidRPr="00C55940">
        <w:rPr>
          <w:bCs/>
          <w:color w:val="auto"/>
        </w:rPr>
        <w:t>ë</w:t>
      </w:r>
      <w:r w:rsidRPr="00C55940">
        <w:rPr>
          <w:bCs/>
          <w:color w:val="auto"/>
        </w:rPr>
        <w:t xml:space="preserve"> mbetet n</w:t>
      </w:r>
      <w:r w:rsidR="00207555" w:rsidRPr="00C55940">
        <w:rPr>
          <w:bCs/>
          <w:color w:val="auto"/>
        </w:rPr>
        <w:t>ë</w:t>
      </w:r>
      <w:r w:rsidRPr="00C55940">
        <w:rPr>
          <w:bCs/>
          <w:color w:val="auto"/>
        </w:rPr>
        <w:t xml:space="preserve"> t</w:t>
      </w:r>
      <w:r w:rsidR="00207555" w:rsidRPr="00C55940">
        <w:rPr>
          <w:bCs/>
          <w:color w:val="auto"/>
        </w:rPr>
        <w:t>ë</w:t>
      </w:r>
      <w:r w:rsidR="00EE0524" w:rsidRPr="00C55940">
        <w:rPr>
          <w:bCs/>
          <w:color w:val="auto"/>
        </w:rPr>
        <w:t xml:space="preserve"> kundërtën duhet t</w:t>
      </w:r>
      <w:r w:rsidR="00207555" w:rsidRPr="00C55940">
        <w:rPr>
          <w:bCs/>
          <w:color w:val="auto"/>
        </w:rPr>
        <w:t>ë</w:t>
      </w:r>
      <w:r w:rsidRPr="00C55940">
        <w:rPr>
          <w:bCs/>
          <w:color w:val="auto"/>
        </w:rPr>
        <w:t xml:space="preserve"> modifikohet. </w:t>
      </w:r>
    </w:p>
    <w:p w:rsidR="00161310" w:rsidRPr="00F420E1" w:rsidRDefault="00161310" w:rsidP="008D672D">
      <w:pPr>
        <w:pStyle w:val="Default"/>
        <w:jc w:val="both"/>
        <w:rPr>
          <w:color w:val="002060"/>
        </w:rPr>
      </w:pPr>
    </w:p>
    <w:p w:rsidR="00161310" w:rsidRPr="00C55940" w:rsidRDefault="00161310" w:rsidP="008D672D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6C2CC8">
        <w:rPr>
          <w:b/>
          <w:bCs/>
          <w:color w:val="auto"/>
          <w:u w:val="single"/>
        </w:rPr>
        <w:t>Neni 18</w:t>
      </w:r>
      <w:r w:rsidR="00C951F7">
        <w:rPr>
          <w:b/>
          <w:bCs/>
          <w:color w:val="auto"/>
          <w:u w:val="single"/>
        </w:rPr>
        <w:t xml:space="preserve">, </w:t>
      </w:r>
      <w:r w:rsidRPr="006C2CC8">
        <w:rPr>
          <w:b/>
          <w:bCs/>
          <w:color w:val="auto"/>
          <w:u w:val="single"/>
        </w:rPr>
        <w:t>Vetë-vlerësimi</w:t>
      </w:r>
      <w:r w:rsidR="00EE0524" w:rsidRPr="00C55940">
        <w:rPr>
          <w:b/>
          <w:bCs/>
          <w:color w:val="auto"/>
        </w:rPr>
        <w:t xml:space="preserve">, </w:t>
      </w:r>
      <w:r w:rsidR="00EE0524" w:rsidRPr="00C55940">
        <w:rPr>
          <w:color w:val="auto"/>
        </w:rPr>
        <w:t>d</w:t>
      </w:r>
      <w:r w:rsidRPr="00C55940">
        <w:rPr>
          <w:color w:val="auto"/>
        </w:rPr>
        <w:t>uhet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sqarohen situatat kur tatimpaguesit bëjnë korrigjime për periudhat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cilat nuk ka pas vlerësime nga ATK, posaçërisht periudhat para atyre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cilat i ka ndryshua</w:t>
      </w:r>
      <w:r w:rsidR="00EE0524" w:rsidRPr="00C55940">
        <w:rPr>
          <w:color w:val="auto"/>
        </w:rPr>
        <w:t>r</w:t>
      </w:r>
      <w:r w:rsidRPr="00C55940">
        <w:rPr>
          <w:color w:val="auto"/>
        </w:rPr>
        <w:t xml:space="preserve"> vlerësimi nga ATK. Çdo ndryshim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reflektohet n</w:t>
      </w:r>
      <w:r w:rsidR="00207555" w:rsidRPr="00C55940">
        <w:rPr>
          <w:color w:val="auto"/>
        </w:rPr>
        <w:t>ë</w:t>
      </w:r>
      <w:r w:rsidR="00EE0524" w:rsidRPr="00C55940">
        <w:rPr>
          <w:color w:val="auto"/>
        </w:rPr>
        <w:t xml:space="preserve"> mënyrë t</w:t>
      </w:r>
      <w:r w:rsidR="00207555" w:rsidRPr="00C55940">
        <w:rPr>
          <w:color w:val="auto"/>
        </w:rPr>
        <w:t>ë</w:t>
      </w:r>
      <w:r w:rsidR="00EE0524" w:rsidRPr="00C55940">
        <w:rPr>
          <w:color w:val="auto"/>
        </w:rPr>
        <w:t xml:space="preserve"> dyanshme (p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>r tatimpaguesin dhe ATK). Gjithashtu, kjo duhet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harmonizohet me Ligjin për TVSh (neni 38).</w:t>
      </w:r>
      <w:r w:rsidR="00EE0524" w:rsidRPr="00C55940">
        <w:rPr>
          <w:color w:val="auto"/>
        </w:rPr>
        <w:t xml:space="preserve"> </w:t>
      </w:r>
      <w:r w:rsidRPr="00C55940">
        <w:rPr>
          <w:color w:val="auto"/>
        </w:rPr>
        <w:t>Duhet t</w:t>
      </w:r>
      <w:r w:rsidR="00207555" w:rsidRPr="00C55940">
        <w:rPr>
          <w:color w:val="auto"/>
        </w:rPr>
        <w:t>ë</w:t>
      </w:r>
      <w:r w:rsidR="00EE0524" w:rsidRPr="00C55940">
        <w:rPr>
          <w:color w:val="auto"/>
        </w:rPr>
        <w:t xml:space="preserve"> jetë pjes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e një analize për zbatimin e saj nga ATK,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funksion t</w:t>
      </w:r>
      <w:r w:rsidR="00207555" w:rsidRPr="00C55940">
        <w:rPr>
          <w:color w:val="auto"/>
        </w:rPr>
        <w:t>ë</w:t>
      </w:r>
      <w:r w:rsidR="00EE0524" w:rsidRPr="00C55940">
        <w:rPr>
          <w:color w:val="auto"/>
        </w:rPr>
        <w:t xml:space="preserve"> </w:t>
      </w:r>
      <w:r w:rsidRPr="00C55940">
        <w:rPr>
          <w:color w:val="auto"/>
        </w:rPr>
        <w:t>harmonizimit me kërkesat gjyqësore për parashkrimin e lëndëve, dhe nës</w:t>
      </w:r>
      <w:r w:rsidR="00EE0524" w:rsidRPr="00C55940">
        <w:rPr>
          <w:color w:val="auto"/>
        </w:rPr>
        <w:t>e rezulton analiza me interes p</w:t>
      </w:r>
      <w:r w:rsidR="00207555" w:rsidRPr="00C55940">
        <w:rPr>
          <w:color w:val="auto"/>
        </w:rPr>
        <w:t>ë</w:t>
      </w:r>
      <w:r w:rsidR="00EE0524" w:rsidRPr="00C55940">
        <w:rPr>
          <w:color w:val="auto"/>
        </w:rPr>
        <w:t>r</w:t>
      </w:r>
      <w:r w:rsidRPr="00C55940">
        <w:rPr>
          <w:color w:val="auto"/>
        </w:rPr>
        <w:t xml:space="preserve"> përmbushjen,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mbetet</w:t>
      </w:r>
      <w:r w:rsidR="00EE0524" w:rsidRPr="00C55940">
        <w:rPr>
          <w:color w:val="auto"/>
        </w:rPr>
        <w:t>,</w:t>
      </w:r>
      <w:r w:rsidRPr="00C55940">
        <w:rPr>
          <w:color w:val="auto"/>
        </w:rPr>
        <w:t xml:space="preserve">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t</w:t>
      </w:r>
      <w:r w:rsidR="00207555" w:rsidRPr="00C55940">
        <w:rPr>
          <w:color w:val="auto"/>
        </w:rPr>
        <w:t>ë</w:t>
      </w:r>
      <w:r w:rsidR="00EE0524" w:rsidRPr="00C55940">
        <w:rPr>
          <w:color w:val="auto"/>
        </w:rPr>
        <w:t xml:space="preserve"> kundërtën duhet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modifikohet.</w:t>
      </w:r>
      <w:r w:rsidRPr="00C55940">
        <w:rPr>
          <w:b/>
          <w:bCs/>
          <w:color w:val="auto"/>
        </w:rPr>
        <w:t xml:space="preserve"> </w:t>
      </w:r>
    </w:p>
    <w:p w:rsidR="004B16CC" w:rsidRPr="00C55940" w:rsidRDefault="00161310" w:rsidP="008D672D">
      <w:pPr>
        <w:pStyle w:val="Default"/>
        <w:jc w:val="both"/>
        <w:rPr>
          <w:color w:val="auto"/>
        </w:rPr>
      </w:pPr>
      <w:r w:rsidRPr="00C55940">
        <w:rPr>
          <w:iCs/>
          <w:color w:val="auto"/>
        </w:rPr>
        <w:t xml:space="preserve"> </w:t>
      </w:r>
      <w:r w:rsidRPr="00C55940">
        <w:rPr>
          <w:color w:val="auto"/>
        </w:rPr>
        <w:t xml:space="preserve"> </w:t>
      </w:r>
    </w:p>
    <w:p w:rsidR="00161310" w:rsidRPr="00C55940" w:rsidRDefault="00161310" w:rsidP="008D672D">
      <w:pPr>
        <w:pStyle w:val="Default"/>
        <w:numPr>
          <w:ilvl w:val="0"/>
          <w:numId w:val="22"/>
        </w:numPr>
        <w:jc w:val="both"/>
        <w:rPr>
          <w:iCs/>
          <w:color w:val="auto"/>
        </w:rPr>
      </w:pPr>
      <w:r w:rsidRPr="006C2CC8">
        <w:rPr>
          <w:b/>
          <w:color w:val="auto"/>
          <w:u w:val="single"/>
        </w:rPr>
        <w:t>Neni 19</w:t>
      </w:r>
      <w:r w:rsidR="00C951F7">
        <w:rPr>
          <w:b/>
          <w:color w:val="auto"/>
          <w:u w:val="single"/>
        </w:rPr>
        <w:t>,</w:t>
      </w:r>
      <w:r w:rsidRPr="006C2CC8">
        <w:rPr>
          <w:b/>
          <w:color w:val="auto"/>
          <w:u w:val="single"/>
        </w:rPr>
        <w:t xml:space="preserve"> Vlerësimi i Drejtorit të Përgjithshëm për Tatimin</w:t>
      </w:r>
      <w:r w:rsidR="00EE0524" w:rsidRPr="00C55940">
        <w:rPr>
          <w:color w:val="auto"/>
        </w:rPr>
        <w:t xml:space="preserve">, </w:t>
      </w:r>
      <w:r w:rsidR="00152EAD" w:rsidRPr="00C55940">
        <w:rPr>
          <w:color w:val="auto"/>
        </w:rPr>
        <w:t>t</w:t>
      </w:r>
      <w:r w:rsidR="00207555" w:rsidRPr="00C55940">
        <w:rPr>
          <w:color w:val="auto"/>
        </w:rPr>
        <w:t>ë</w:t>
      </w:r>
      <w:r w:rsidR="00152EAD" w:rsidRPr="00C55940">
        <w:rPr>
          <w:color w:val="auto"/>
        </w:rPr>
        <w:t xml:space="preserve"> riformulohet, m</w:t>
      </w:r>
      <w:r w:rsidRPr="00C55940">
        <w:rPr>
          <w:color w:val="auto"/>
        </w:rPr>
        <w:t>e qellim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eliminimit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dykuptimësisë dhe shprehjes s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subjektivizmit</w:t>
      </w:r>
      <w:r w:rsidR="00152EAD" w:rsidRPr="00C55940">
        <w:rPr>
          <w:color w:val="auto"/>
        </w:rPr>
        <w:t>. K</w:t>
      </w:r>
      <w:r w:rsidRPr="00C55940">
        <w:rPr>
          <w:color w:val="auto"/>
        </w:rPr>
        <w:t>y nen duhet t</w:t>
      </w:r>
      <w:r w:rsidR="00207555" w:rsidRPr="00C55940">
        <w:rPr>
          <w:color w:val="auto"/>
        </w:rPr>
        <w:t>ë</w:t>
      </w:r>
      <w:r w:rsidR="00152EAD" w:rsidRPr="00C55940">
        <w:rPr>
          <w:color w:val="auto"/>
        </w:rPr>
        <w:t xml:space="preserve"> riformulohet dhe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b</w:t>
      </w:r>
      <w:r w:rsidR="00207555" w:rsidRPr="00C55940">
        <w:rPr>
          <w:color w:val="auto"/>
        </w:rPr>
        <w:t>ë</w:t>
      </w:r>
      <w:r w:rsidR="00152EAD" w:rsidRPr="00C55940">
        <w:rPr>
          <w:color w:val="auto"/>
        </w:rPr>
        <w:t>het m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i qart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duke eliminua</w:t>
      </w:r>
      <w:r w:rsidR="00152EAD" w:rsidRPr="00C55940">
        <w:rPr>
          <w:color w:val="auto"/>
        </w:rPr>
        <w:t>r</w:t>
      </w:r>
      <w:r w:rsidRPr="00C55940">
        <w:rPr>
          <w:color w:val="auto"/>
        </w:rPr>
        <w:t xml:space="preserve"> konfuzionin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shprehjen “beson” duke e fuqizua me prezencën e dëshmive dhe informatave. N</w:t>
      </w:r>
      <w:r w:rsidR="00152EAD" w:rsidRPr="00C55940">
        <w:rPr>
          <w:color w:val="auto"/>
        </w:rPr>
        <w:t>dryshimet e këtij neni duhet t</w:t>
      </w:r>
      <w:r w:rsidR="00207555" w:rsidRPr="00C55940">
        <w:rPr>
          <w:color w:val="auto"/>
        </w:rPr>
        <w:t>ë</w:t>
      </w:r>
      <w:r w:rsidR="00152EAD" w:rsidRPr="00C55940">
        <w:rPr>
          <w:color w:val="auto"/>
        </w:rPr>
        <w:t xml:space="preserve"> </w:t>
      </w:r>
      <w:r w:rsidRPr="00C55940">
        <w:rPr>
          <w:color w:val="auto"/>
        </w:rPr>
        <w:t xml:space="preserve">përfshijnë edhe konceptin e projektit </w:t>
      </w:r>
      <w:proofErr w:type="spellStart"/>
      <w:r w:rsidRPr="00C55940">
        <w:rPr>
          <w:color w:val="auto"/>
        </w:rPr>
        <w:t>ZGjONA</w:t>
      </w:r>
      <w:proofErr w:type="spellEnd"/>
      <w:r w:rsidRPr="00C55940">
        <w:rPr>
          <w:color w:val="auto"/>
        </w:rPr>
        <w:t xml:space="preserve"> (BUSTRA)</w:t>
      </w:r>
      <w:r w:rsidR="00152EAD" w:rsidRPr="00C55940">
        <w:rPr>
          <w:color w:val="auto"/>
        </w:rPr>
        <w:t>,</w:t>
      </w:r>
      <w:r w:rsidRPr="00C55940">
        <w:rPr>
          <w:color w:val="auto"/>
        </w:rPr>
        <w:t xml:space="preserve"> i cili është duke u zhvillua</w:t>
      </w:r>
      <w:r w:rsidR="00152EAD" w:rsidRPr="00C55940">
        <w:rPr>
          <w:color w:val="auto"/>
        </w:rPr>
        <w:t>r</w:t>
      </w:r>
      <w:r w:rsidRPr="00C55940">
        <w:rPr>
          <w:color w:val="auto"/>
        </w:rPr>
        <w:t xml:space="preserve"> si pilot p</w:t>
      </w:r>
      <w:r w:rsidR="00152EAD" w:rsidRPr="00C55940">
        <w:rPr>
          <w:color w:val="auto"/>
        </w:rPr>
        <w:t>rojekt i mbështetur nga ekspert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>t Gjerman, përkatësisht nga GIZ-i.</w:t>
      </w:r>
      <w:r w:rsidR="00152EAD" w:rsidRPr="00C55940">
        <w:rPr>
          <w:color w:val="auto"/>
        </w:rPr>
        <w:t xml:space="preserve"> Rekomandohet të</w:t>
      </w:r>
      <w:r w:rsidR="00224874" w:rsidRPr="00C55940">
        <w:rPr>
          <w:color w:val="auto"/>
        </w:rPr>
        <w:t xml:space="preserve"> riformulohet neni 19 në tërësi</w:t>
      </w:r>
      <w:r w:rsidRPr="00C55940">
        <w:rPr>
          <w:color w:val="auto"/>
        </w:rPr>
        <w:t>.</w:t>
      </w:r>
      <w:r w:rsidRPr="00C55940">
        <w:rPr>
          <w:iCs/>
          <w:color w:val="auto"/>
        </w:rPr>
        <w:t xml:space="preserve"> </w:t>
      </w:r>
    </w:p>
    <w:p w:rsidR="00274FF5" w:rsidRPr="00C55940" w:rsidRDefault="00274FF5" w:rsidP="008D672D">
      <w:pPr>
        <w:pStyle w:val="Default"/>
        <w:jc w:val="both"/>
        <w:rPr>
          <w:color w:val="auto"/>
        </w:rPr>
      </w:pPr>
    </w:p>
    <w:p w:rsidR="00161310" w:rsidRPr="00C55940" w:rsidRDefault="00161310" w:rsidP="008D672D">
      <w:pPr>
        <w:pStyle w:val="Default"/>
        <w:jc w:val="both"/>
        <w:rPr>
          <w:color w:val="auto"/>
        </w:rPr>
      </w:pPr>
    </w:p>
    <w:p w:rsidR="00274FF5" w:rsidRPr="00C55940" w:rsidRDefault="00161310" w:rsidP="008D672D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6C2CC8">
        <w:rPr>
          <w:b/>
          <w:bCs/>
          <w:color w:val="auto"/>
          <w:u w:val="single"/>
        </w:rPr>
        <w:lastRenderedPageBreak/>
        <w:t>Neni 20</w:t>
      </w:r>
      <w:r w:rsidR="00C951F7">
        <w:rPr>
          <w:b/>
          <w:bCs/>
          <w:color w:val="auto"/>
          <w:u w:val="single"/>
        </w:rPr>
        <w:t>,</w:t>
      </w:r>
      <w:r w:rsidRPr="006C2CC8">
        <w:rPr>
          <w:b/>
          <w:bCs/>
          <w:color w:val="auto"/>
          <w:u w:val="single"/>
        </w:rPr>
        <w:t xml:space="preserve"> Kufizimet kohore për vlerësimet</w:t>
      </w:r>
      <w:r w:rsidR="00152EAD" w:rsidRPr="00C55940">
        <w:rPr>
          <w:b/>
          <w:bCs/>
          <w:color w:val="auto"/>
        </w:rPr>
        <w:t xml:space="preserve">, </w:t>
      </w:r>
      <w:r w:rsidR="00152EAD" w:rsidRPr="006C2CC8">
        <w:rPr>
          <w:bCs/>
          <w:color w:val="auto"/>
        </w:rPr>
        <w:t>r</w:t>
      </w:r>
      <w:r w:rsidR="00152EAD" w:rsidRPr="006C2CC8">
        <w:rPr>
          <w:color w:val="auto"/>
        </w:rPr>
        <w:t>e</w:t>
      </w:r>
      <w:r w:rsidR="00152EAD" w:rsidRPr="00C55940">
        <w:rPr>
          <w:color w:val="auto"/>
        </w:rPr>
        <w:t>komandohet q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</w:t>
      </w:r>
      <w:r w:rsidR="00151082" w:rsidRPr="00C55940">
        <w:rPr>
          <w:color w:val="auto"/>
        </w:rPr>
        <w:t>riformulohet neni 20 p</w:t>
      </w:r>
      <w:r w:rsidR="00207555" w:rsidRPr="00C55940">
        <w:rPr>
          <w:color w:val="auto"/>
        </w:rPr>
        <w:t>ë</w:t>
      </w:r>
      <w:r w:rsidR="00151082" w:rsidRPr="00C55940">
        <w:rPr>
          <w:color w:val="auto"/>
        </w:rPr>
        <w:t>r shkak t</w:t>
      </w:r>
      <w:r w:rsidR="00207555" w:rsidRPr="00C55940">
        <w:rPr>
          <w:color w:val="auto"/>
        </w:rPr>
        <w:t>ë</w:t>
      </w:r>
      <w:r w:rsidR="00151082" w:rsidRPr="00C55940">
        <w:rPr>
          <w:color w:val="auto"/>
        </w:rPr>
        <w:t xml:space="preserve"> paqartësive (dilemave) ndërmjet paragrafëve 1 dhe 2 t</w:t>
      </w:r>
      <w:r w:rsidR="00207555" w:rsidRPr="00C55940">
        <w:rPr>
          <w:color w:val="auto"/>
        </w:rPr>
        <w:t>ë</w:t>
      </w:r>
      <w:r w:rsidR="00151082" w:rsidRPr="00C55940">
        <w:rPr>
          <w:color w:val="auto"/>
        </w:rPr>
        <w:t xml:space="preserve"> këtij neni.</w:t>
      </w:r>
    </w:p>
    <w:p w:rsidR="00097882" w:rsidRPr="00C55940" w:rsidRDefault="00161310" w:rsidP="008D672D">
      <w:pPr>
        <w:pStyle w:val="Default"/>
        <w:jc w:val="both"/>
        <w:rPr>
          <w:iCs/>
          <w:color w:val="auto"/>
        </w:rPr>
      </w:pPr>
      <w:r w:rsidRPr="00C55940">
        <w:rPr>
          <w:iCs/>
          <w:color w:val="auto"/>
        </w:rPr>
        <w:t xml:space="preserve"> </w:t>
      </w:r>
    </w:p>
    <w:p w:rsidR="00161310" w:rsidRPr="00C55940" w:rsidRDefault="00161310" w:rsidP="00152EAD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6C2CC8">
        <w:rPr>
          <w:b/>
          <w:color w:val="auto"/>
          <w:u w:val="single"/>
        </w:rPr>
        <w:t>Neni 21</w:t>
      </w:r>
      <w:r w:rsidR="00C951F7">
        <w:rPr>
          <w:b/>
          <w:color w:val="auto"/>
          <w:u w:val="single"/>
        </w:rPr>
        <w:t>,</w:t>
      </w:r>
      <w:r w:rsidRPr="006C2CC8">
        <w:rPr>
          <w:b/>
          <w:color w:val="auto"/>
          <w:u w:val="single"/>
        </w:rPr>
        <w:t xml:space="preserve"> Ankesa kur ka vlerësim ne rast rreziku</w:t>
      </w:r>
      <w:r w:rsidR="00152EAD" w:rsidRPr="00C55940">
        <w:rPr>
          <w:b/>
          <w:color w:val="auto"/>
        </w:rPr>
        <w:t>,</w:t>
      </w:r>
      <w:r w:rsidRPr="00C55940">
        <w:rPr>
          <w:color w:val="auto"/>
        </w:rPr>
        <w:t xml:space="preserve"> paragrafi 1, nëse kthehet autoriteti i BORDIT atëherë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mbetet siç është</w:t>
      </w:r>
      <w:r w:rsidR="00152EAD" w:rsidRPr="00C55940">
        <w:rPr>
          <w:color w:val="auto"/>
        </w:rPr>
        <w:t>,</w:t>
      </w:r>
      <w:r w:rsidRPr="00C55940">
        <w:rPr>
          <w:color w:val="auto"/>
        </w:rPr>
        <w:t xml:space="preserve"> përndryshe ajo pjesa ku përmendet bordi duhet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ndryshohet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Gjykat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</w:t>
      </w:r>
      <w:r w:rsidR="00152EAD" w:rsidRPr="00C55940">
        <w:rPr>
          <w:color w:val="auto"/>
        </w:rPr>
        <w:t>T</w:t>
      </w:r>
      <w:r w:rsidRPr="00C55940">
        <w:rPr>
          <w:color w:val="auto"/>
        </w:rPr>
        <w:t xml:space="preserve">hemelore. </w:t>
      </w:r>
    </w:p>
    <w:p w:rsidR="00161310" w:rsidRPr="00C55940" w:rsidRDefault="00161310" w:rsidP="008D672D">
      <w:pPr>
        <w:pStyle w:val="Default"/>
        <w:jc w:val="both"/>
        <w:rPr>
          <w:color w:val="auto"/>
        </w:rPr>
      </w:pPr>
    </w:p>
    <w:p w:rsidR="00075C12" w:rsidRPr="00C55940" w:rsidRDefault="00161310" w:rsidP="00152EAD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6C2CC8">
        <w:rPr>
          <w:b/>
          <w:color w:val="auto"/>
          <w:u w:val="single"/>
        </w:rPr>
        <w:t>Neni 22</w:t>
      </w:r>
      <w:r w:rsidR="00C951F7">
        <w:rPr>
          <w:b/>
          <w:color w:val="auto"/>
          <w:u w:val="single"/>
        </w:rPr>
        <w:t>,</w:t>
      </w:r>
      <w:r w:rsidRPr="006C2CC8">
        <w:rPr>
          <w:b/>
          <w:color w:val="auto"/>
          <w:u w:val="single"/>
        </w:rPr>
        <w:t xml:space="preserve"> </w:t>
      </w:r>
      <w:r w:rsidRPr="006C2CC8">
        <w:rPr>
          <w:b/>
          <w:bCs/>
          <w:color w:val="auto"/>
          <w:u w:val="single"/>
        </w:rPr>
        <w:t>Njoftim Vlerësimi</w:t>
      </w:r>
      <w:r w:rsidR="00152EAD" w:rsidRPr="00C55940">
        <w:rPr>
          <w:b/>
          <w:bCs/>
          <w:color w:val="auto"/>
        </w:rPr>
        <w:t xml:space="preserve">, </w:t>
      </w:r>
      <w:r w:rsidRPr="00C55940">
        <w:rPr>
          <w:b/>
          <w:bCs/>
          <w:color w:val="auto"/>
        </w:rPr>
        <w:t xml:space="preserve"> </w:t>
      </w:r>
      <w:r w:rsidR="00075C12" w:rsidRPr="00C55940">
        <w:rPr>
          <w:color w:val="auto"/>
        </w:rPr>
        <w:t>t</w:t>
      </w:r>
      <w:r w:rsidR="00207555" w:rsidRPr="00C55940">
        <w:rPr>
          <w:color w:val="auto"/>
        </w:rPr>
        <w:t>ë</w:t>
      </w:r>
      <w:r w:rsidR="00075C12" w:rsidRPr="00C55940">
        <w:rPr>
          <w:color w:val="auto"/>
        </w:rPr>
        <w:t xml:space="preserve"> riformulohe</w:t>
      </w:r>
      <w:r w:rsidR="00152EAD" w:rsidRPr="00C55940">
        <w:rPr>
          <w:color w:val="auto"/>
        </w:rPr>
        <w:t>t duke i përcaktuar elementet q</w:t>
      </w:r>
      <w:r w:rsidR="00207555" w:rsidRPr="00C55940">
        <w:rPr>
          <w:color w:val="auto"/>
        </w:rPr>
        <w:t>ë</w:t>
      </w:r>
      <w:r w:rsidR="00075C12" w:rsidRPr="00C55940">
        <w:rPr>
          <w:color w:val="auto"/>
        </w:rPr>
        <w:t xml:space="preserve"> duhet t</w:t>
      </w:r>
      <w:r w:rsidR="00152EAD" w:rsidRPr="00C55940">
        <w:rPr>
          <w:color w:val="auto"/>
        </w:rPr>
        <w:t>’</w:t>
      </w:r>
      <w:r w:rsidR="00075C12" w:rsidRPr="00C55940">
        <w:rPr>
          <w:color w:val="auto"/>
        </w:rPr>
        <w:t>i përmbaj</w:t>
      </w:r>
      <w:r w:rsidR="00207555" w:rsidRPr="00C55940">
        <w:rPr>
          <w:color w:val="auto"/>
        </w:rPr>
        <w:t>ë</w:t>
      </w:r>
      <w:r w:rsidR="00075C12" w:rsidRPr="00C55940">
        <w:rPr>
          <w:color w:val="auto"/>
        </w:rPr>
        <w:t xml:space="preserve"> akti administrativ</w:t>
      </w:r>
      <w:r w:rsidRPr="00C55940">
        <w:rPr>
          <w:color w:val="auto"/>
        </w:rPr>
        <w:t>.</w:t>
      </w:r>
    </w:p>
    <w:p w:rsidR="00161310" w:rsidRPr="00C55940" w:rsidRDefault="00161310" w:rsidP="008D672D">
      <w:pPr>
        <w:pStyle w:val="Default"/>
        <w:jc w:val="both"/>
        <w:rPr>
          <w:color w:val="auto"/>
        </w:rPr>
      </w:pPr>
      <w:r w:rsidRPr="00C55940">
        <w:rPr>
          <w:color w:val="auto"/>
        </w:rPr>
        <w:t xml:space="preserve"> </w:t>
      </w:r>
    </w:p>
    <w:p w:rsidR="00161310" w:rsidRPr="00C55940" w:rsidRDefault="00152EAD" w:rsidP="008D672D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6C2CC8">
        <w:rPr>
          <w:b/>
          <w:color w:val="auto"/>
          <w:u w:val="single"/>
        </w:rPr>
        <w:t>Neni 28</w:t>
      </w:r>
      <w:r w:rsidR="00C951F7">
        <w:rPr>
          <w:b/>
          <w:color w:val="auto"/>
          <w:u w:val="single"/>
        </w:rPr>
        <w:t>,</w:t>
      </w:r>
      <w:r w:rsidRPr="006C2CC8">
        <w:rPr>
          <w:b/>
          <w:color w:val="auto"/>
          <w:u w:val="single"/>
        </w:rPr>
        <w:t xml:space="preserve"> Interesi</w:t>
      </w:r>
      <w:r w:rsidRPr="00C55940">
        <w:rPr>
          <w:color w:val="auto"/>
        </w:rPr>
        <w:t>, p</w:t>
      </w:r>
      <w:r w:rsidR="00161310" w:rsidRPr="00C55940">
        <w:rPr>
          <w:color w:val="auto"/>
        </w:rPr>
        <w:t>ër aplikimin e Interesave dhe ndëshkimit duhet t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gjendet një form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m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efikase d</w:t>
      </w:r>
      <w:r w:rsidRPr="00C55940">
        <w:rPr>
          <w:color w:val="auto"/>
        </w:rPr>
        <w:t>he nxitëse për tatimpaguesin. N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mënyrë t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veçantë duhet t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rishikohet paragrafi 2. Kufizimi i rrjedhjes s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interesit duhet t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lidhet me t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drejtën e ATK-së për periudhën e kufizuar t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mbledhjes s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tatimeve, pra duhet t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modifikohet n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përputhje me kohen e mbledhjes s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tatimeve. Ka propozime q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t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aplikohet kufizimi i rrjedhjes s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shkall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>s s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interesit dhe pas arritjes se një niveli t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përcaktuar t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ndalet llogaritja e interesit. </w:t>
      </w:r>
    </w:p>
    <w:p w:rsidR="00097882" w:rsidRPr="00C55940" w:rsidRDefault="00097882" w:rsidP="008D672D">
      <w:pPr>
        <w:pStyle w:val="Default"/>
        <w:jc w:val="both"/>
        <w:rPr>
          <w:color w:val="auto"/>
        </w:rPr>
      </w:pPr>
    </w:p>
    <w:p w:rsidR="00C72BEA" w:rsidRPr="00C55940" w:rsidRDefault="00161310" w:rsidP="008D672D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6C2CC8">
        <w:rPr>
          <w:b/>
          <w:bCs/>
          <w:color w:val="auto"/>
          <w:u w:val="single"/>
        </w:rPr>
        <w:t>Neni 30</w:t>
      </w:r>
      <w:r w:rsidR="00C951F7">
        <w:rPr>
          <w:b/>
          <w:bCs/>
          <w:color w:val="auto"/>
          <w:u w:val="single"/>
        </w:rPr>
        <w:t xml:space="preserve">, </w:t>
      </w:r>
      <w:r w:rsidRPr="006C2CC8">
        <w:rPr>
          <w:b/>
          <w:bCs/>
          <w:color w:val="auto"/>
          <w:u w:val="single"/>
        </w:rPr>
        <w:t xml:space="preserve">Kreditimet dhe </w:t>
      </w:r>
      <w:proofErr w:type="spellStart"/>
      <w:r w:rsidRPr="006C2CC8">
        <w:rPr>
          <w:b/>
          <w:bCs/>
          <w:color w:val="auto"/>
          <w:u w:val="single"/>
        </w:rPr>
        <w:t>rimbursimet</w:t>
      </w:r>
      <w:proofErr w:type="spellEnd"/>
      <w:r w:rsidR="00152EAD" w:rsidRPr="00C55940">
        <w:rPr>
          <w:b/>
          <w:bCs/>
          <w:color w:val="auto"/>
        </w:rPr>
        <w:t xml:space="preserve">, </w:t>
      </w:r>
      <w:r w:rsidR="00152EAD" w:rsidRPr="006D464D">
        <w:rPr>
          <w:color w:val="auto"/>
        </w:rPr>
        <w:t>r</w:t>
      </w:r>
      <w:r w:rsidR="00152EAD" w:rsidRPr="00C55940">
        <w:rPr>
          <w:color w:val="auto"/>
        </w:rPr>
        <w:t>ekomandohet q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</w:t>
      </w:r>
      <w:r w:rsidR="0014268D" w:rsidRPr="00C55940">
        <w:rPr>
          <w:color w:val="auto"/>
        </w:rPr>
        <w:t>ky nen t</w:t>
      </w:r>
      <w:r w:rsidR="00207555" w:rsidRPr="00C55940">
        <w:rPr>
          <w:color w:val="auto"/>
        </w:rPr>
        <w:t>ë</w:t>
      </w:r>
      <w:r w:rsidR="0014268D" w:rsidRPr="00C55940">
        <w:rPr>
          <w:color w:val="auto"/>
        </w:rPr>
        <w:t xml:space="preserve"> plotësohet</w:t>
      </w:r>
      <w:r w:rsidR="006D464D">
        <w:rPr>
          <w:color w:val="auto"/>
        </w:rPr>
        <w:t xml:space="preserve"> </w:t>
      </w:r>
      <w:r w:rsidR="0014268D" w:rsidRPr="00C55940">
        <w:rPr>
          <w:color w:val="auto"/>
        </w:rPr>
        <w:t>/</w:t>
      </w:r>
      <w:r w:rsidR="006D464D">
        <w:rPr>
          <w:color w:val="auto"/>
        </w:rPr>
        <w:t xml:space="preserve"> </w:t>
      </w:r>
      <w:r w:rsidR="0014268D" w:rsidRPr="00C55940">
        <w:rPr>
          <w:color w:val="auto"/>
        </w:rPr>
        <w:t>ndryshohet duke përfshirë procedurat e përcaktua</w:t>
      </w:r>
      <w:r w:rsidR="00152EAD" w:rsidRPr="00C55940">
        <w:rPr>
          <w:color w:val="auto"/>
        </w:rPr>
        <w:t>ra me Rregulloren e brendshme t</w:t>
      </w:r>
      <w:r w:rsidR="00207555" w:rsidRPr="00C55940">
        <w:rPr>
          <w:color w:val="auto"/>
        </w:rPr>
        <w:t>ë</w:t>
      </w:r>
      <w:r w:rsidR="0014268D" w:rsidRPr="00C55940">
        <w:rPr>
          <w:color w:val="auto"/>
        </w:rPr>
        <w:t xml:space="preserve"> ATK-s</w:t>
      </w:r>
      <w:r w:rsidR="00207555" w:rsidRPr="00C55940">
        <w:rPr>
          <w:color w:val="auto"/>
        </w:rPr>
        <w:t>ë</w:t>
      </w:r>
      <w:r w:rsidR="0014268D" w:rsidRPr="00C55940">
        <w:rPr>
          <w:color w:val="auto"/>
        </w:rPr>
        <w:t xml:space="preserve"> për shqyrtimin e kërkesave për rimbursim, n</w:t>
      </w:r>
      <w:r w:rsidR="00152EAD" w:rsidRPr="00C55940">
        <w:rPr>
          <w:color w:val="auto"/>
        </w:rPr>
        <w:t>x</w:t>
      </w:r>
      <w:r w:rsidR="0014268D" w:rsidRPr="00C55940">
        <w:rPr>
          <w:color w:val="auto"/>
        </w:rPr>
        <w:t>jerrë në vitin 2017.</w:t>
      </w:r>
    </w:p>
    <w:p w:rsidR="004B16CC" w:rsidRPr="00C55940" w:rsidRDefault="00161310" w:rsidP="008D672D">
      <w:pPr>
        <w:pStyle w:val="Default"/>
        <w:jc w:val="both"/>
        <w:rPr>
          <w:color w:val="auto"/>
        </w:rPr>
      </w:pPr>
      <w:r w:rsidRPr="00C55940">
        <w:rPr>
          <w:color w:val="auto"/>
        </w:rPr>
        <w:t xml:space="preserve"> </w:t>
      </w:r>
    </w:p>
    <w:p w:rsidR="00161310" w:rsidRPr="00C55940" w:rsidRDefault="00161310" w:rsidP="008D672D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6C2CC8">
        <w:rPr>
          <w:b/>
          <w:bCs/>
          <w:color w:val="auto"/>
          <w:u w:val="single"/>
        </w:rPr>
        <w:t>Neni 33</w:t>
      </w:r>
      <w:r w:rsidR="006D464D">
        <w:rPr>
          <w:b/>
          <w:bCs/>
          <w:color w:val="auto"/>
          <w:u w:val="single"/>
        </w:rPr>
        <w:t>,</w:t>
      </w:r>
      <w:r w:rsidRPr="006C2CC8">
        <w:rPr>
          <w:b/>
          <w:bCs/>
          <w:color w:val="auto"/>
          <w:u w:val="single"/>
        </w:rPr>
        <w:t xml:space="preserve"> Barra</w:t>
      </w:r>
      <w:r w:rsidR="00152EAD" w:rsidRPr="00C55940">
        <w:rPr>
          <w:b/>
          <w:bCs/>
          <w:color w:val="auto"/>
        </w:rPr>
        <w:t xml:space="preserve">, </w:t>
      </w:r>
      <w:r w:rsidRPr="00C55940">
        <w:rPr>
          <w:color w:val="auto"/>
        </w:rPr>
        <w:t>duhet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riformulohet për sqarime m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plota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funksion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zbatimit m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drejt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rastin e kohës dhe vlerës s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barrës,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rastin kur pasuria shitet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ankand. Gjithashtu, propozimi është q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për barrën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vendosen kufizime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posaçme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mënyrë q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rritet efikasiteti dhe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mos ngu</w:t>
      </w:r>
      <w:r w:rsidR="00B12F85" w:rsidRPr="00C55940">
        <w:rPr>
          <w:color w:val="auto"/>
        </w:rPr>
        <w:t>l</w:t>
      </w:r>
      <w:r w:rsidRPr="00C55940">
        <w:rPr>
          <w:color w:val="auto"/>
        </w:rPr>
        <w:t>faten tatimpaguesit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zhvillimin e biznesit. Ideja është q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t</w:t>
      </w:r>
      <w:r w:rsidR="00207555" w:rsidRPr="00C55940">
        <w:rPr>
          <w:color w:val="auto"/>
        </w:rPr>
        <w:t>ë</w:t>
      </w:r>
      <w:r w:rsidR="00152EAD" w:rsidRPr="00C55940">
        <w:rPr>
          <w:color w:val="auto"/>
        </w:rPr>
        <w:t xml:space="preserve"> </w:t>
      </w:r>
      <w:r w:rsidRPr="00C55940">
        <w:rPr>
          <w:color w:val="auto"/>
        </w:rPr>
        <w:t>b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>het vlerësimi i pasurisë paraprakisht për vendosjen e barrës (</w:t>
      </w:r>
      <w:r w:rsidRPr="00C55940">
        <w:rPr>
          <w:iCs/>
          <w:color w:val="auto"/>
        </w:rPr>
        <w:t>p.sh. barra vendoset n</w:t>
      </w:r>
      <w:r w:rsidR="00207555" w:rsidRPr="00C55940">
        <w:rPr>
          <w:iCs/>
          <w:color w:val="auto"/>
        </w:rPr>
        <w:t>ë</w:t>
      </w:r>
      <w:r w:rsidRPr="00C55940">
        <w:rPr>
          <w:iCs/>
          <w:color w:val="auto"/>
        </w:rPr>
        <w:t xml:space="preserve"> pasurinë q</w:t>
      </w:r>
      <w:r w:rsidR="00207555" w:rsidRPr="00C55940">
        <w:rPr>
          <w:iCs/>
          <w:color w:val="auto"/>
        </w:rPr>
        <w:t>ë</w:t>
      </w:r>
      <w:r w:rsidRPr="00C55940">
        <w:rPr>
          <w:iCs/>
          <w:color w:val="auto"/>
        </w:rPr>
        <w:t xml:space="preserve"> është n</w:t>
      </w:r>
      <w:r w:rsidR="00207555" w:rsidRPr="00C55940">
        <w:rPr>
          <w:iCs/>
          <w:color w:val="auto"/>
        </w:rPr>
        <w:t>ë</w:t>
      </w:r>
      <w:r w:rsidRPr="00C55940">
        <w:rPr>
          <w:iCs/>
          <w:color w:val="auto"/>
        </w:rPr>
        <w:t xml:space="preserve"> proporcion me dyfishin e borxhit tatimor). Gjithashtu</w:t>
      </w:r>
      <w:r w:rsidR="00152EAD" w:rsidRPr="00C55940">
        <w:rPr>
          <w:iCs/>
          <w:color w:val="auto"/>
        </w:rPr>
        <w:t>,</w:t>
      </w:r>
      <w:r w:rsidRPr="00C55940">
        <w:rPr>
          <w:iCs/>
          <w:color w:val="auto"/>
        </w:rPr>
        <w:t xml:space="preserve"> duhet t</w:t>
      </w:r>
      <w:r w:rsidR="00207555" w:rsidRPr="00C55940">
        <w:rPr>
          <w:iCs/>
          <w:color w:val="auto"/>
        </w:rPr>
        <w:t>ë</w:t>
      </w:r>
      <w:r w:rsidRPr="00C55940">
        <w:rPr>
          <w:iCs/>
          <w:color w:val="auto"/>
        </w:rPr>
        <w:t xml:space="preserve"> </w:t>
      </w:r>
      <w:r w:rsidRPr="00C55940">
        <w:rPr>
          <w:color w:val="auto"/>
        </w:rPr>
        <w:t>shqyrtohet efikasiteti i barrës tatimore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pasuritë e N</w:t>
      </w:r>
      <w:r w:rsidR="00152EAD" w:rsidRPr="00C55940">
        <w:rPr>
          <w:color w:val="auto"/>
        </w:rPr>
        <w:t>d</w:t>
      </w:r>
      <w:r w:rsidR="00207555" w:rsidRPr="00C55940">
        <w:rPr>
          <w:color w:val="auto"/>
        </w:rPr>
        <w:t>ë</w:t>
      </w:r>
      <w:r w:rsidR="00152EAD" w:rsidRPr="00C55940">
        <w:rPr>
          <w:color w:val="auto"/>
        </w:rPr>
        <w:t>rmarrjes Shoq</w:t>
      </w:r>
      <w:r w:rsidR="00207555" w:rsidRPr="00C55940">
        <w:rPr>
          <w:color w:val="auto"/>
        </w:rPr>
        <w:t>ë</w:t>
      </w:r>
      <w:r w:rsidR="00152EAD" w:rsidRPr="00C55940">
        <w:rPr>
          <w:color w:val="auto"/>
        </w:rPr>
        <w:t xml:space="preserve">rore </w:t>
      </w:r>
      <w:r w:rsidRPr="00C55940">
        <w:rPr>
          <w:color w:val="auto"/>
        </w:rPr>
        <w:t>q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menaxhohe</w:t>
      </w:r>
      <w:r w:rsidR="00152EAD" w:rsidRPr="00C55940">
        <w:rPr>
          <w:color w:val="auto"/>
        </w:rPr>
        <w:t>t</w:t>
      </w:r>
      <w:r w:rsidRPr="00C55940">
        <w:rPr>
          <w:color w:val="auto"/>
        </w:rPr>
        <w:t xml:space="preserve"> nga AKP. </w:t>
      </w:r>
    </w:p>
    <w:p w:rsidR="00097882" w:rsidRPr="00C55940" w:rsidRDefault="00097882" w:rsidP="008D672D">
      <w:pPr>
        <w:pStyle w:val="Default"/>
        <w:jc w:val="both"/>
        <w:rPr>
          <w:color w:val="auto"/>
        </w:rPr>
      </w:pPr>
    </w:p>
    <w:p w:rsidR="00161310" w:rsidRPr="00C55940" w:rsidRDefault="00161310" w:rsidP="008D672D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6C2CC8">
        <w:rPr>
          <w:b/>
          <w:bCs/>
          <w:color w:val="auto"/>
          <w:u w:val="single"/>
        </w:rPr>
        <w:t>Neni 36</w:t>
      </w:r>
      <w:r w:rsidR="006D464D">
        <w:rPr>
          <w:b/>
          <w:bCs/>
          <w:color w:val="auto"/>
          <w:u w:val="single"/>
        </w:rPr>
        <w:t>,</w:t>
      </w:r>
      <w:r w:rsidRPr="006C2CC8">
        <w:rPr>
          <w:b/>
          <w:bCs/>
          <w:color w:val="auto"/>
          <w:u w:val="single"/>
        </w:rPr>
        <w:t xml:space="preserve"> Shitja në ankand publik dhe Neni 37</w:t>
      </w:r>
      <w:r w:rsidR="006D464D">
        <w:rPr>
          <w:b/>
          <w:bCs/>
          <w:color w:val="auto"/>
          <w:u w:val="single"/>
        </w:rPr>
        <w:t xml:space="preserve">, </w:t>
      </w:r>
      <w:r w:rsidRPr="006C2CC8">
        <w:rPr>
          <w:b/>
          <w:bCs/>
          <w:color w:val="auto"/>
          <w:u w:val="single"/>
        </w:rPr>
        <w:t>Kufizimet mbi mbledhjen e detyrueshme</w:t>
      </w:r>
      <w:r w:rsidR="00152EAD" w:rsidRPr="00C55940">
        <w:rPr>
          <w:b/>
          <w:bCs/>
          <w:color w:val="auto"/>
        </w:rPr>
        <w:t xml:space="preserve">, </w:t>
      </w:r>
      <w:r w:rsidR="00152EAD" w:rsidRPr="00C55940">
        <w:rPr>
          <w:color w:val="auto"/>
        </w:rPr>
        <w:t>d</w:t>
      </w:r>
      <w:r w:rsidRPr="00C55940">
        <w:rPr>
          <w:color w:val="auto"/>
        </w:rPr>
        <w:t>uhet t</w:t>
      </w:r>
      <w:r w:rsidR="00152EAD" w:rsidRPr="00C55940">
        <w:rPr>
          <w:color w:val="auto"/>
        </w:rPr>
        <w:t>ë</w:t>
      </w:r>
      <w:r w:rsidRPr="00C55940">
        <w:rPr>
          <w:color w:val="auto"/>
        </w:rPr>
        <w:t xml:space="preserve"> rishikohen,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sqarohen dhe plotësohen m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shum</w:t>
      </w:r>
      <w:r w:rsidR="00207555" w:rsidRPr="00C55940">
        <w:rPr>
          <w:color w:val="auto"/>
        </w:rPr>
        <w:t>ë</w:t>
      </w:r>
      <w:r w:rsidR="00152EAD" w:rsidRPr="00C55940">
        <w:rPr>
          <w:color w:val="auto"/>
        </w:rPr>
        <w:t>, me q</w:t>
      </w:r>
      <w:r w:rsidR="00207555" w:rsidRPr="00C55940">
        <w:rPr>
          <w:color w:val="auto"/>
        </w:rPr>
        <w:t>ë</w:t>
      </w:r>
      <w:r w:rsidR="00152EAD" w:rsidRPr="00C55940">
        <w:rPr>
          <w:color w:val="auto"/>
        </w:rPr>
        <w:t>llim q</w:t>
      </w:r>
      <w:r w:rsidR="00207555" w:rsidRPr="00C55940">
        <w:rPr>
          <w:color w:val="auto"/>
        </w:rPr>
        <w:t>ë</w:t>
      </w:r>
      <w:r w:rsidR="00152EAD" w:rsidRPr="00C55940">
        <w:rPr>
          <w:color w:val="auto"/>
        </w:rPr>
        <w:t xml:space="preserve"> </w:t>
      </w:r>
      <w:r w:rsidRPr="00C55940">
        <w:rPr>
          <w:color w:val="auto"/>
        </w:rPr>
        <w:t>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jen</w:t>
      </w:r>
      <w:r w:rsidR="00207555" w:rsidRPr="00C55940">
        <w:rPr>
          <w:color w:val="auto"/>
        </w:rPr>
        <w:t>ë</w:t>
      </w:r>
      <w:r w:rsidR="00152EAD" w:rsidRPr="00C55940">
        <w:rPr>
          <w:color w:val="auto"/>
        </w:rPr>
        <w:t xml:space="preserve"> m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funksionale për mbledhjen e tatimeve. </w:t>
      </w:r>
    </w:p>
    <w:p w:rsidR="00097882" w:rsidRPr="00C55940" w:rsidRDefault="00097882" w:rsidP="008D672D">
      <w:pPr>
        <w:pStyle w:val="Default"/>
        <w:jc w:val="both"/>
        <w:rPr>
          <w:color w:val="auto"/>
        </w:rPr>
      </w:pPr>
    </w:p>
    <w:p w:rsidR="00161310" w:rsidRPr="00C55940" w:rsidRDefault="00161310" w:rsidP="008D672D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6C2CC8">
        <w:rPr>
          <w:b/>
          <w:bCs/>
          <w:color w:val="auto"/>
          <w:u w:val="single"/>
        </w:rPr>
        <w:t>Neni 41</w:t>
      </w:r>
      <w:r w:rsidR="006D464D">
        <w:rPr>
          <w:b/>
          <w:bCs/>
          <w:color w:val="auto"/>
          <w:u w:val="single"/>
        </w:rPr>
        <w:t>,</w:t>
      </w:r>
      <w:r w:rsidRPr="006C2CC8">
        <w:rPr>
          <w:b/>
          <w:bCs/>
          <w:color w:val="auto"/>
          <w:u w:val="single"/>
        </w:rPr>
        <w:t xml:space="preserve"> Ndalesat për largim</w:t>
      </w:r>
      <w:r w:rsidR="00152EAD" w:rsidRPr="00C55940">
        <w:rPr>
          <w:b/>
          <w:bCs/>
          <w:color w:val="auto"/>
        </w:rPr>
        <w:t xml:space="preserve">, </w:t>
      </w:r>
      <w:r w:rsidR="00152EAD" w:rsidRPr="00C55940">
        <w:rPr>
          <w:color w:val="auto"/>
        </w:rPr>
        <w:t>k</w:t>
      </w:r>
      <w:r w:rsidRPr="00C55940">
        <w:rPr>
          <w:color w:val="auto"/>
        </w:rPr>
        <w:t>jo dispozit</w:t>
      </w:r>
      <w:r w:rsidR="00152EAD" w:rsidRPr="00C55940">
        <w:rPr>
          <w:color w:val="auto"/>
        </w:rPr>
        <w:t>ë</w:t>
      </w:r>
      <w:r w:rsidRPr="00C55940">
        <w:rPr>
          <w:color w:val="auto"/>
        </w:rPr>
        <w:t xml:space="preserve"> shpesh ka qen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kërkesë e diskutueshme edhe nga Policia e Kosovës dhe është komentua</w:t>
      </w:r>
      <w:r w:rsidR="00152EAD" w:rsidRPr="00C55940">
        <w:rPr>
          <w:color w:val="auto"/>
        </w:rPr>
        <w:t>r</w:t>
      </w:r>
      <w:r w:rsidRPr="00C55940">
        <w:rPr>
          <w:color w:val="auto"/>
        </w:rPr>
        <w:t xml:space="preserve"> se është ndërhyrje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procedurat gjyqësore.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ri definohet dhe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b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>het një analiz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e zbatimit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saj nga ATK dhe efektet e saj. </w:t>
      </w:r>
      <w:r w:rsidR="00360DAD" w:rsidRPr="00C55940">
        <w:rPr>
          <w:color w:val="auto"/>
        </w:rPr>
        <w:t>Po ashtu, t</w:t>
      </w:r>
      <w:r w:rsidR="00207555" w:rsidRPr="00C55940">
        <w:rPr>
          <w:color w:val="auto"/>
        </w:rPr>
        <w:t>ë</w:t>
      </w:r>
      <w:r w:rsidR="00360DAD" w:rsidRPr="00C55940">
        <w:rPr>
          <w:color w:val="auto"/>
        </w:rPr>
        <w:t xml:space="preserve"> riformulohet emërtimi i nenit “Moslejimet për largim”.</w:t>
      </w:r>
    </w:p>
    <w:p w:rsidR="00097882" w:rsidRPr="00C55940" w:rsidRDefault="00097882" w:rsidP="008D672D">
      <w:pPr>
        <w:pStyle w:val="Default"/>
        <w:jc w:val="both"/>
        <w:rPr>
          <w:color w:val="auto"/>
        </w:rPr>
      </w:pPr>
    </w:p>
    <w:p w:rsidR="00161310" w:rsidRPr="00C55940" w:rsidRDefault="00161310" w:rsidP="008D672D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6C2CC8">
        <w:rPr>
          <w:b/>
          <w:bCs/>
          <w:color w:val="auto"/>
          <w:u w:val="single"/>
        </w:rPr>
        <w:t>Neni 43</w:t>
      </w:r>
      <w:r w:rsidR="006D464D">
        <w:rPr>
          <w:b/>
          <w:bCs/>
          <w:color w:val="auto"/>
          <w:u w:val="single"/>
        </w:rPr>
        <w:t xml:space="preserve">, </w:t>
      </w:r>
      <w:r w:rsidRPr="006C2CC8">
        <w:rPr>
          <w:b/>
          <w:bCs/>
          <w:color w:val="auto"/>
          <w:u w:val="single"/>
        </w:rPr>
        <w:t xml:space="preserve">Borxhet tatimore të </w:t>
      </w:r>
      <w:proofErr w:type="spellStart"/>
      <w:r w:rsidRPr="006C2CC8">
        <w:rPr>
          <w:b/>
          <w:bCs/>
          <w:color w:val="auto"/>
          <w:u w:val="single"/>
        </w:rPr>
        <w:t>pambledhshme</w:t>
      </w:r>
      <w:proofErr w:type="spellEnd"/>
      <w:r w:rsidR="00152EAD" w:rsidRPr="00C55940">
        <w:rPr>
          <w:b/>
          <w:bCs/>
          <w:color w:val="auto"/>
        </w:rPr>
        <w:t xml:space="preserve">, </w:t>
      </w:r>
      <w:r w:rsidR="00152EAD" w:rsidRPr="00C55940">
        <w:rPr>
          <w:color w:val="auto"/>
        </w:rPr>
        <w:t>p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>r borxhet tatimore, krahas rishikimit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aplikimit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ndëshkimeve dhe interesave duhet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shqyrtohet mundësia e fuqizimit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funksionit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Mbledhjes s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detyrueshme dhe thjeshtësimit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procedurave për shlyerjen e borxheve. Anulimi dhe fshirja e borxheve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definohet saktë, siç rekomandohet edhe tek veprimet e mbledhjes s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detyrueshme (çdo kufizim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mbledhjen e detyrueshme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trajtohet edhe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funksion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anulimit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borxheve). </w:t>
      </w:r>
    </w:p>
    <w:p w:rsidR="004B16CC" w:rsidRPr="00C55940" w:rsidRDefault="004B16CC" w:rsidP="008D672D">
      <w:pPr>
        <w:pStyle w:val="Default"/>
        <w:jc w:val="both"/>
        <w:rPr>
          <w:color w:val="auto"/>
        </w:rPr>
      </w:pPr>
    </w:p>
    <w:p w:rsidR="005C5A07" w:rsidRPr="00C55940" w:rsidRDefault="005C5A07" w:rsidP="005B2CBC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6C2CC8">
        <w:rPr>
          <w:b/>
          <w:bCs/>
          <w:color w:val="auto"/>
          <w:u w:val="single"/>
        </w:rPr>
        <w:t>Neni 47</w:t>
      </w:r>
      <w:r w:rsidR="006D464D">
        <w:rPr>
          <w:b/>
          <w:bCs/>
          <w:color w:val="auto"/>
          <w:u w:val="single"/>
        </w:rPr>
        <w:t>,</w:t>
      </w:r>
      <w:r w:rsidRPr="006C2CC8">
        <w:rPr>
          <w:b/>
          <w:bCs/>
          <w:color w:val="auto"/>
          <w:u w:val="single"/>
        </w:rPr>
        <w:t xml:space="preserve"> Shkëmbimi i transaksioneve dhe raportimi i informatave nga palët e treta</w:t>
      </w:r>
      <w:r w:rsidR="00D57117" w:rsidRPr="00C55940">
        <w:rPr>
          <w:b/>
          <w:bCs/>
          <w:color w:val="auto"/>
        </w:rPr>
        <w:t>,</w:t>
      </w:r>
      <w:r w:rsidR="00D57117" w:rsidRPr="00C55940">
        <w:rPr>
          <w:color w:val="auto"/>
        </w:rPr>
        <w:t xml:space="preserve"> t</w:t>
      </w:r>
      <w:r w:rsidR="00207555" w:rsidRPr="00C55940">
        <w:rPr>
          <w:color w:val="auto"/>
        </w:rPr>
        <w:t>ë</w:t>
      </w:r>
      <w:r w:rsidR="00D57117" w:rsidRPr="00C55940">
        <w:rPr>
          <w:color w:val="auto"/>
        </w:rPr>
        <w:t xml:space="preserve"> riformulohet </w:t>
      </w:r>
      <w:r w:rsidR="00673441" w:rsidRPr="00C55940">
        <w:rPr>
          <w:color w:val="auto"/>
        </w:rPr>
        <w:t>për</w:t>
      </w:r>
      <w:r w:rsidR="00D57117" w:rsidRPr="00C55940">
        <w:rPr>
          <w:color w:val="auto"/>
        </w:rPr>
        <w:t xml:space="preserve"> t</w:t>
      </w:r>
      <w:r w:rsidR="00207555" w:rsidRPr="00C55940">
        <w:rPr>
          <w:color w:val="auto"/>
        </w:rPr>
        <w:t>ë</w:t>
      </w:r>
      <w:r w:rsidR="00D57117" w:rsidRPr="00C55940">
        <w:rPr>
          <w:color w:val="auto"/>
        </w:rPr>
        <w:t xml:space="preserve"> sqaruar m</w:t>
      </w:r>
      <w:r w:rsidR="00207555" w:rsidRPr="00C55940">
        <w:rPr>
          <w:color w:val="auto"/>
        </w:rPr>
        <w:t>ë</w:t>
      </w:r>
      <w:r w:rsidR="00D57117" w:rsidRPr="00C55940">
        <w:rPr>
          <w:color w:val="auto"/>
        </w:rPr>
        <w:t xml:space="preserve"> konkretisht momentin e transaksionit t</w:t>
      </w:r>
      <w:r w:rsidR="00207555" w:rsidRPr="00C55940">
        <w:rPr>
          <w:color w:val="auto"/>
        </w:rPr>
        <w:t>ë</w:t>
      </w:r>
      <w:r w:rsidR="00D57117" w:rsidRPr="00C55940">
        <w:rPr>
          <w:color w:val="auto"/>
        </w:rPr>
        <w:t xml:space="preserve"> këmbimit, si dhe harmonizimin me Ligjet tatimore (TVSH, TAP dhe TAK).</w:t>
      </w:r>
      <w:r w:rsidR="00B52A06" w:rsidRPr="00C55940">
        <w:rPr>
          <w:color w:val="auto"/>
        </w:rPr>
        <w:t xml:space="preserve"> Po ashtu, </w:t>
      </w:r>
      <w:r w:rsidR="00B52A06" w:rsidRPr="00C55940">
        <w:rPr>
          <w:color w:val="auto"/>
        </w:rPr>
        <w:lastRenderedPageBreak/>
        <w:t>riformulim edhe i paragrafit 3 t</w:t>
      </w:r>
      <w:r w:rsidR="00207555" w:rsidRPr="00C55940">
        <w:rPr>
          <w:color w:val="auto"/>
        </w:rPr>
        <w:t>ë</w:t>
      </w:r>
      <w:r w:rsidR="00B52A06" w:rsidRPr="00C55940">
        <w:rPr>
          <w:color w:val="auto"/>
        </w:rPr>
        <w:t xml:space="preserve"> këtij neni, ku do t</w:t>
      </w:r>
      <w:r w:rsidR="00207555" w:rsidRPr="00C55940">
        <w:rPr>
          <w:color w:val="auto"/>
        </w:rPr>
        <w:t>ë</w:t>
      </w:r>
      <w:r w:rsidR="00B52A06" w:rsidRPr="00C55940">
        <w:rPr>
          <w:color w:val="auto"/>
        </w:rPr>
        <w:t xml:space="preserve"> përjashtohen deklaruesit e TVSH-s</w:t>
      </w:r>
      <w:r w:rsidR="00207555" w:rsidRPr="00C55940">
        <w:rPr>
          <w:color w:val="auto"/>
        </w:rPr>
        <w:t>ë</w:t>
      </w:r>
      <w:r w:rsidR="00B52A06" w:rsidRPr="00C55940">
        <w:rPr>
          <w:color w:val="auto"/>
        </w:rPr>
        <w:t xml:space="preserve"> </w:t>
      </w:r>
      <w:r w:rsidR="00673441" w:rsidRPr="00C55940">
        <w:rPr>
          <w:color w:val="auto"/>
        </w:rPr>
        <w:t>për</w:t>
      </w:r>
      <w:r w:rsidR="00B52A06" w:rsidRPr="00C55940">
        <w:rPr>
          <w:color w:val="auto"/>
        </w:rPr>
        <w:t xml:space="preserve"> t</w:t>
      </w:r>
      <w:r w:rsidR="00207555" w:rsidRPr="00C55940">
        <w:rPr>
          <w:color w:val="auto"/>
        </w:rPr>
        <w:t>ë</w:t>
      </w:r>
      <w:r w:rsidR="00B52A06" w:rsidRPr="00C55940">
        <w:rPr>
          <w:color w:val="auto"/>
        </w:rPr>
        <w:t xml:space="preserve"> dorëzuar Raportin e blerjeve mbi 500€</w:t>
      </w:r>
      <w:r w:rsidR="005B2CBC" w:rsidRPr="00C55940">
        <w:rPr>
          <w:color w:val="auto"/>
        </w:rPr>
        <w:t>, pasi q</w:t>
      </w:r>
      <w:r w:rsidR="00207555" w:rsidRPr="00C55940">
        <w:rPr>
          <w:color w:val="auto"/>
        </w:rPr>
        <w:t>ë</w:t>
      </w:r>
      <w:r w:rsidR="00B52A06" w:rsidRPr="00C55940">
        <w:rPr>
          <w:color w:val="auto"/>
        </w:rPr>
        <w:t xml:space="preserve"> këta dorëzojnë Librin e Blerjes dhe Librin e Shitjes </w:t>
      </w:r>
      <w:r w:rsidR="00673441" w:rsidRPr="00C55940">
        <w:rPr>
          <w:color w:val="auto"/>
        </w:rPr>
        <w:t>për</w:t>
      </w:r>
      <w:r w:rsidR="00B52A06" w:rsidRPr="00C55940">
        <w:rPr>
          <w:color w:val="auto"/>
        </w:rPr>
        <w:t xml:space="preserve"> çdo muaj</w:t>
      </w:r>
      <w:r w:rsidR="005B2CBC" w:rsidRPr="00C55940">
        <w:rPr>
          <w:color w:val="auto"/>
        </w:rPr>
        <w:t xml:space="preserve"> dhe aty p</w:t>
      </w:r>
      <w:r w:rsidR="00207555" w:rsidRPr="00C55940">
        <w:rPr>
          <w:color w:val="auto"/>
        </w:rPr>
        <w:t>ë</w:t>
      </w:r>
      <w:r w:rsidR="005B2CBC" w:rsidRPr="00C55940">
        <w:rPr>
          <w:color w:val="auto"/>
        </w:rPr>
        <w:t>rfshijn</w:t>
      </w:r>
      <w:r w:rsidR="00207555" w:rsidRPr="00C55940">
        <w:rPr>
          <w:color w:val="auto"/>
        </w:rPr>
        <w:t>ë</w:t>
      </w:r>
      <w:r w:rsidR="005B2CBC" w:rsidRPr="00C55940">
        <w:rPr>
          <w:color w:val="auto"/>
        </w:rPr>
        <w:t xml:space="preserve"> t</w:t>
      </w:r>
      <w:r w:rsidR="00207555" w:rsidRPr="00C55940">
        <w:rPr>
          <w:color w:val="auto"/>
        </w:rPr>
        <w:t>ë</w:t>
      </w:r>
      <w:r w:rsidR="005B2CBC" w:rsidRPr="00C55940">
        <w:rPr>
          <w:color w:val="auto"/>
        </w:rPr>
        <w:t xml:space="preserve"> gjitha transaksionet e tyre</w:t>
      </w:r>
      <w:r w:rsidR="00B52A06" w:rsidRPr="00C55940">
        <w:rPr>
          <w:color w:val="auto"/>
        </w:rPr>
        <w:t>.</w:t>
      </w:r>
    </w:p>
    <w:p w:rsidR="00D57117" w:rsidRPr="00C55940" w:rsidRDefault="00D57117" w:rsidP="008D672D">
      <w:pPr>
        <w:pStyle w:val="Default"/>
        <w:jc w:val="both"/>
        <w:rPr>
          <w:color w:val="auto"/>
        </w:rPr>
      </w:pPr>
    </w:p>
    <w:p w:rsidR="00161310" w:rsidRPr="00C55940" w:rsidRDefault="00161310" w:rsidP="008D672D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6C2CC8">
        <w:rPr>
          <w:b/>
          <w:bCs/>
          <w:color w:val="auto"/>
          <w:u w:val="single"/>
        </w:rPr>
        <w:t>Neni 48</w:t>
      </w:r>
      <w:r w:rsidR="006D464D">
        <w:rPr>
          <w:b/>
          <w:bCs/>
          <w:color w:val="auto"/>
          <w:u w:val="single"/>
        </w:rPr>
        <w:t>,</w:t>
      </w:r>
      <w:r w:rsidRPr="006C2CC8">
        <w:rPr>
          <w:b/>
          <w:bCs/>
          <w:color w:val="auto"/>
          <w:u w:val="single"/>
        </w:rPr>
        <w:t xml:space="preserve"> Nën-deklarimi i të ardhurave dhe arkëtimet e devijuara</w:t>
      </w:r>
      <w:r w:rsidR="005B2CBC" w:rsidRPr="00C55940">
        <w:rPr>
          <w:b/>
          <w:bCs/>
          <w:color w:val="auto"/>
        </w:rPr>
        <w:t xml:space="preserve">, </w:t>
      </w:r>
      <w:r w:rsidRPr="00C55940">
        <w:rPr>
          <w:color w:val="auto"/>
        </w:rPr>
        <w:t xml:space="preserve">Kërkohet që në këtë nen të bëhen zgjerime për të treguar saktë se në cilin rast do te mundet ATK të përdorë metodë </w:t>
      </w:r>
      <w:r w:rsidR="00CB62BF" w:rsidRPr="00C55940">
        <w:rPr>
          <w:color w:val="auto"/>
        </w:rPr>
        <w:t>indirekte e</w:t>
      </w:r>
      <w:r w:rsidRPr="00C55940">
        <w:rPr>
          <w:color w:val="auto"/>
        </w:rPr>
        <w:t xml:space="preserve"> kontrollit dhe cilën metodë </w:t>
      </w:r>
      <w:r w:rsidR="00CB62BF" w:rsidRPr="00C55940">
        <w:rPr>
          <w:color w:val="auto"/>
        </w:rPr>
        <w:t>indirekte</w:t>
      </w:r>
      <w:r w:rsidRPr="00C55940">
        <w:rPr>
          <w:color w:val="auto"/>
        </w:rPr>
        <w:t xml:space="preserve"> në cilin rast. Formulimi i këtij neni është shumë gjeneral dhe si pasojë len hapësirë edhe për keqpërdorim apo për subjektivizëm. </w:t>
      </w:r>
    </w:p>
    <w:p w:rsidR="00097882" w:rsidRPr="00C55940" w:rsidRDefault="00097882" w:rsidP="008D672D">
      <w:pPr>
        <w:pStyle w:val="Default"/>
        <w:jc w:val="both"/>
        <w:rPr>
          <w:color w:val="auto"/>
        </w:rPr>
      </w:pPr>
    </w:p>
    <w:p w:rsidR="00C02E15" w:rsidRPr="00C55940" w:rsidRDefault="00161310" w:rsidP="007D56CF">
      <w:pPr>
        <w:pStyle w:val="Default"/>
        <w:numPr>
          <w:ilvl w:val="0"/>
          <w:numId w:val="22"/>
        </w:numPr>
        <w:jc w:val="both"/>
        <w:rPr>
          <w:iCs/>
          <w:color w:val="auto"/>
        </w:rPr>
      </w:pPr>
      <w:r w:rsidRPr="006C2CC8">
        <w:rPr>
          <w:b/>
          <w:bCs/>
          <w:color w:val="auto"/>
          <w:u w:val="single"/>
        </w:rPr>
        <w:t>Neni 49</w:t>
      </w:r>
      <w:r w:rsidR="006D464D">
        <w:rPr>
          <w:b/>
          <w:bCs/>
          <w:color w:val="auto"/>
          <w:u w:val="single"/>
        </w:rPr>
        <w:t>,</w:t>
      </w:r>
      <w:r w:rsidRPr="006C2CC8">
        <w:rPr>
          <w:b/>
          <w:bCs/>
          <w:color w:val="auto"/>
          <w:u w:val="single"/>
        </w:rPr>
        <w:t xml:space="preserve"> Sanksionet për mos përmbushje</w:t>
      </w:r>
      <w:r w:rsidR="007D56CF" w:rsidRPr="00C55940">
        <w:rPr>
          <w:b/>
          <w:bCs/>
          <w:color w:val="auto"/>
        </w:rPr>
        <w:t xml:space="preserve">, </w:t>
      </w:r>
      <w:r w:rsidR="007D56CF" w:rsidRPr="00C55940">
        <w:rPr>
          <w:color w:val="auto"/>
        </w:rPr>
        <w:t>çd</w:t>
      </w:r>
      <w:r w:rsidRPr="00C55940">
        <w:rPr>
          <w:color w:val="auto"/>
        </w:rPr>
        <w:t xml:space="preserve">o sanksion i vënë sipas </w:t>
      </w:r>
      <w:r w:rsidRPr="006C2CC8">
        <w:rPr>
          <w:bCs/>
          <w:color w:val="auto"/>
        </w:rPr>
        <w:t>nenit 50 deri 61 të këtij ligji do të konsiderohet si detyrim</w:t>
      </w:r>
      <w:r w:rsidR="007D56CF" w:rsidRPr="006C2CC8">
        <w:rPr>
          <w:bCs/>
          <w:color w:val="auto"/>
        </w:rPr>
        <w:t xml:space="preserve"> tatimor</w:t>
      </w:r>
      <w:r w:rsidRPr="006C2CC8">
        <w:rPr>
          <w:bCs/>
          <w:color w:val="auto"/>
        </w:rPr>
        <w:t xml:space="preserve"> ndaj ATK-së</w:t>
      </w:r>
      <w:r w:rsidR="00D57117" w:rsidRPr="006C2CC8">
        <w:rPr>
          <w:bCs/>
          <w:color w:val="auto"/>
        </w:rPr>
        <w:t xml:space="preserve"> dhe </w:t>
      </w:r>
      <w:r w:rsidR="007D56CF" w:rsidRPr="006C2CC8">
        <w:rPr>
          <w:bCs/>
          <w:color w:val="auto"/>
        </w:rPr>
        <w:t>i</w:t>
      </w:r>
      <w:r w:rsidR="00D57117" w:rsidRPr="006C2CC8">
        <w:rPr>
          <w:bCs/>
          <w:color w:val="auto"/>
        </w:rPr>
        <w:t xml:space="preserve"> mbledhsh</w:t>
      </w:r>
      <w:r w:rsidR="00207555" w:rsidRPr="006C2CC8">
        <w:rPr>
          <w:bCs/>
          <w:color w:val="auto"/>
        </w:rPr>
        <w:t>ë</w:t>
      </w:r>
      <w:r w:rsidR="00D57117" w:rsidRPr="006C2CC8">
        <w:rPr>
          <w:bCs/>
          <w:color w:val="auto"/>
        </w:rPr>
        <w:t>m si tatim</w:t>
      </w:r>
      <w:r w:rsidRPr="006C2CC8">
        <w:rPr>
          <w:color w:val="auto"/>
        </w:rPr>
        <w:t>.</w:t>
      </w:r>
      <w:r w:rsidRPr="00C55940">
        <w:rPr>
          <w:color w:val="auto"/>
        </w:rPr>
        <w:t xml:space="preserve">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gjitha këto nene duhet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rishikohen dhe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analizohet zbatimi i tyre për ngritjen e funksionalitetit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ATK-s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dhe lehtësimit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funksion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nxitjes s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përmbushjes vullnetare. Ndëshkimet duhet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</w:t>
      </w:r>
      <w:r w:rsidR="00C02E15" w:rsidRPr="00C55940">
        <w:rPr>
          <w:color w:val="auto"/>
        </w:rPr>
        <w:t>rishikohen, marrë parasysh edhe Ligjin për kundërvajtje, m</w:t>
      </w:r>
      <w:r w:rsidR="00207555" w:rsidRPr="00C55940">
        <w:rPr>
          <w:color w:val="auto"/>
        </w:rPr>
        <w:t>ë</w:t>
      </w:r>
      <w:r w:rsidR="00C02E15" w:rsidRPr="00C55940">
        <w:rPr>
          <w:color w:val="auto"/>
        </w:rPr>
        <w:t xml:space="preserve"> konkretisht procedurat e përcaktuara me këtë ligj</w:t>
      </w:r>
      <w:r w:rsidRPr="00C55940">
        <w:rPr>
          <w:color w:val="auto"/>
        </w:rPr>
        <w:t>.</w:t>
      </w:r>
    </w:p>
    <w:p w:rsidR="00161310" w:rsidRPr="00C55940" w:rsidRDefault="00161310" w:rsidP="007D56CF">
      <w:pPr>
        <w:pStyle w:val="Default"/>
        <w:ind w:left="720"/>
        <w:jc w:val="both"/>
        <w:rPr>
          <w:color w:val="auto"/>
        </w:rPr>
      </w:pPr>
      <w:r w:rsidRPr="00C55940">
        <w:rPr>
          <w:color w:val="auto"/>
        </w:rPr>
        <w:t>Ndryshimet e këtij neni duhet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përfshijnë edhe konceptin e projektit </w:t>
      </w:r>
      <w:proofErr w:type="spellStart"/>
      <w:r w:rsidRPr="00C55940">
        <w:rPr>
          <w:color w:val="auto"/>
        </w:rPr>
        <w:t>ZGjONA</w:t>
      </w:r>
      <w:proofErr w:type="spellEnd"/>
      <w:r w:rsidRPr="00C55940">
        <w:rPr>
          <w:color w:val="auto"/>
        </w:rPr>
        <w:t xml:space="preserve"> (BUSTRA)</w:t>
      </w:r>
      <w:r w:rsidR="007D56CF" w:rsidRPr="00C55940">
        <w:rPr>
          <w:color w:val="auto"/>
        </w:rPr>
        <w:t>,</w:t>
      </w:r>
      <w:r w:rsidRPr="00C55940">
        <w:rPr>
          <w:color w:val="auto"/>
        </w:rPr>
        <w:t xml:space="preserve"> i cili është duke u zhvillua</w:t>
      </w:r>
      <w:r w:rsidR="007D56CF" w:rsidRPr="00C55940">
        <w:rPr>
          <w:color w:val="auto"/>
        </w:rPr>
        <w:t>r</w:t>
      </w:r>
      <w:r w:rsidRPr="00C55940">
        <w:rPr>
          <w:color w:val="auto"/>
        </w:rPr>
        <w:t xml:space="preserve"> si pilot projekt i mbështetur nga ekspert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t Gjerman, përkatësisht nga Organizata GIZ. </w:t>
      </w:r>
    </w:p>
    <w:p w:rsidR="00161310" w:rsidRPr="00C55940" w:rsidRDefault="00161310" w:rsidP="008D672D">
      <w:pPr>
        <w:pStyle w:val="Default"/>
        <w:jc w:val="both"/>
        <w:rPr>
          <w:color w:val="auto"/>
        </w:rPr>
      </w:pPr>
    </w:p>
    <w:p w:rsidR="00161310" w:rsidRPr="00C55940" w:rsidRDefault="00161310" w:rsidP="008D672D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6C2CC8">
        <w:rPr>
          <w:b/>
          <w:color w:val="auto"/>
          <w:u w:val="single"/>
        </w:rPr>
        <w:t>Neni 59</w:t>
      </w:r>
      <w:r w:rsidR="006D464D">
        <w:rPr>
          <w:b/>
          <w:color w:val="auto"/>
          <w:u w:val="single"/>
        </w:rPr>
        <w:t>,</w:t>
      </w:r>
      <w:r w:rsidRPr="006C2CC8">
        <w:rPr>
          <w:b/>
          <w:color w:val="auto"/>
          <w:u w:val="single"/>
        </w:rPr>
        <w:t xml:space="preserve"> Ndëshkimi administrativ për mallrat pa origjinë</w:t>
      </w:r>
      <w:r w:rsidR="007D56CF" w:rsidRPr="00C55940">
        <w:rPr>
          <w:color w:val="auto"/>
        </w:rPr>
        <w:t>, k</w:t>
      </w:r>
      <w:r w:rsidRPr="00C55940">
        <w:rPr>
          <w:color w:val="auto"/>
        </w:rPr>
        <w:t>rahas korrigjimit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fjalës “origjin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>” me fjalën “dokumentacion” duhet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riformulohet me qellim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sqarimit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tij p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>r aplikim dhe duhet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përputhet me masën e marrjes s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pasurisë. </w:t>
      </w:r>
    </w:p>
    <w:p w:rsidR="004B1AD2" w:rsidRPr="00C55940" w:rsidRDefault="004B1AD2" w:rsidP="008D672D">
      <w:pPr>
        <w:pStyle w:val="Default"/>
        <w:jc w:val="both"/>
        <w:rPr>
          <w:color w:val="auto"/>
        </w:rPr>
      </w:pPr>
    </w:p>
    <w:p w:rsidR="00161310" w:rsidRPr="00C55940" w:rsidRDefault="00161310" w:rsidP="007D56CF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6C2CC8">
        <w:rPr>
          <w:b/>
          <w:bCs/>
          <w:iCs/>
          <w:color w:val="auto"/>
          <w:u w:val="single"/>
        </w:rPr>
        <w:t>Neni 60</w:t>
      </w:r>
      <w:r w:rsidR="006D464D">
        <w:rPr>
          <w:b/>
          <w:bCs/>
          <w:iCs/>
          <w:color w:val="auto"/>
          <w:u w:val="single"/>
        </w:rPr>
        <w:t>,</w:t>
      </w:r>
      <w:r w:rsidRPr="006C2CC8">
        <w:rPr>
          <w:b/>
          <w:bCs/>
          <w:iCs/>
          <w:color w:val="auto"/>
          <w:u w:val="single"/>
        </w:rPr>
        <w:t xml:space="preserve"> </w:t>
      </w:r>
      <w:r w:rsidRPr="006C2CC8">
        <w:rPr>
          <w:b/>
          <w:bCs/>
          <w:color w:val="auto"/>
          <w:u w:val="single"/>
        </w:rPr>
        <w:t>Ndëshkimi për mashtrim civil</w:t>
      </w:r>
      <w:r w:rsidRPr="00C55940">
        <w:rPr>
          <w:b/>
          <w:bCs/>
          <w:color w:val="auto"/>
        </w:rPr>
        <w:t xml:space="preserve">, </w:t>
      </w:r>
      <w:r w:rsidRPr="00C55940">
        <w:rPr>
          <w:color w:val="auto"/>
        </w:rPr>
        <w:t>duhet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rishikohet, ndoshta edhe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hiqet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tërësi. Arsyeja e këtij propozimi është bazuar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faktin se është aplikua</w:t>
      </w:r>
      <w:r w:rsidR="00B77A61" w:rsidRPr="00C55940">
        <w:rPr>
          <w:color w:val="auto"/>
        </w:rPr>
        <w:t>r</w:t>
      </w:r>
      <w:r w:rsidRPr="00C55940">
        <w:rPr>
          <w:color w:val="auto"/>
        </w:rPr>
        <w:t xml:space="preserve"> vetëm njëherë dhe atë pa rekomandim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zyrës ligjore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ATK-së.</w:t>
      </w:r>
      <w:r w:rsidRPr="00C55940">
        <w:rPr>
          <w:b/>
          <w:bCs/>
          <w:iCs/>
          <w:color w:val="auto"/>
        </w:rPr>
        <w:t xml:space="preserve"> </w:t>
      </w:r>
    </w:p>
    <w:p w:rsidR="00161310" w:rsidRPr="00C55940" w:rsidRDefault="00161310" w:rsidP="008D672D">
      <w:pPr>
        <w:pStyle w:val="Default"/>
        <w:jc w:val="both"/>
        <w:rPr>
          <w:color w:val="auto"/>
        </w:rPr>
      </w:pPr>
    </w:p>
    <w:p w:rsidR="00161310" w:rsidRPr="00C55940" w:rsidRDefault="00161310" w:rsidP="00B77A61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6C2CC8">
        <w:rPr>
          <w:b/>
          <w:bCs/>
          <w:color w:val="auto"/>
          <w:u w:val="single"/>
        </w:rPr>
        <w:t>Neni 62</w:t>
      </w:r>
      <w:r w:rsidR="006D464D">
        <w:rPr>
          <w:b/>
          <w:bCs/>
          <w:color w:val="auto"/>
          <w:u w:val="single"/>
        </w:rPr>
        <w:t>,</w:t>
      </w:r>
      <w:r w:rsidRPr="006C2CC8">
        <w:rPr>
          <w:b/>
          <w:bCs/>
          <w:color w:val="auto"/>
          <w:u w:val="single"/>
        </w:rPr>
        <w:t xml:space="preserve"> Zbritja e sanksioneve</w:t>
      </w:r>
      <w:r w:rsidR="006C2CC8">
        <w:rPr>
          <w:b/>
          <w:bCs/>
          <w:color w:val="auto"/>
        </w:rPr>
        <w:t>,</w:t>
      </w:r>
      <w:r w:rsidRPr="00C55940">
        <w:rPr>
          <w:b/>
          <w:bCs/>
          <w:color w:val="auto"/>
        </w:rPr>
        <w:t xml:space="preserve"> </w:t>
      </w:r>
      <w:r w:rsidR="00097882" w:rsidRPr="00C55940">
        <w:rPr>
          <w:color w:val="auto"/>
        </w:rPr>
        <w:t>d</w:t>
      </w:r>
      <w:r w:rsidRPr="00C55940">
        <w:rPr>
          <w:color w:val="auto"/>
        </w:rPr>
        <w:t>uhet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</w:t>
      </w:r>
      <w:r w:rsidR="00002DC1" w:rsidRPr="00C55940">
        <w:rPr>
          <w:color w:val="auto"/>
        </w:rPr>
        <w:t>shtohen paragraf t</w:t>
      </w:r>
      <w:r w:rsidR="00207555" w:rsidRPr="00C55940">
        <w:rPr>
          <w:color w:val="auto"/>
        </w:rPr>
        <w:t>ë</w:t>
      </w:r>
      <w:r w:rsidR="00A8090D" w:rsidRPr="00C55940">
        <w:rPr>
          <w:color w:val="auto"/>
        </w:rPr>
        <w:t xml:space="preserve"> rinj, t</w:t>
      </w:r>
      <w:r w:rsidR="00207555" w:rsidRPr="00C55940">
        <w:rPr>
          <w:color w:val="auto"/>
        </w:rPr>
        <w:t>ë</w:t>
      </w:r>
      <w:r w:rsidR="00002DC1" w:rsidRPr="00C55940">
        <w:rPr>
          <w:color w:val="auto"/>
        </w:rPr>
        <w:t xml:space="preserve"> cilët do t</w:t>
      </w:r>
      <w:r w:rsidR="00207555" w:rsidRPr="00C55940">
        <w:rPr>
          <w:color w:val="auto"/>
        </w:rPr>
        <w:t>ë</w:t>
      </w:r>
      <w:r w:rsidR="00002DC1" w:rsidRPr="00C55940">
        <w:rPr>
          <w:color w:val="auto"/>
        </w:rPr>
        <w:t xml:space="preserve"> përcaktojnë zbritje t</w:t>
      </w:r>
      <w:r w:rsidR="00207555" w:rsidRPr="00C55940">
        <w:rPr>
          <w:color w:val="auto"/>
        </w:rPr>
        <w:t>ë</w:t>
      </w:r>
      <w:r w:rsidR="00002DC1" w:rsidRPr="00C55940">
        <w:rPr>
          <w:color w:val="auto"/>
        </w:rPr>
        <w:t xml:space="preserve"> sanksioneve n</w:t>
      </w:r>
      <w:r w:rsidR="00207555" w:rsidRPr="00C55940">
        <w:rPr>
          <w:color w:val="auto"/>
        </w:rPr>
        <w:t>ë</w:t>
      </w:r>
      <w:r w:rsidR="00002DC1" w:rsidRPr="00C55940">
        <w:rPr>
          <w:color w:val="auto"/>
        </w:rPr>
        <w:t xml:space="preserve"> rast t</w:t>
      </w:r>
      <w:r w:rsidR="00207555" w:rsidRPr="00C55940">
        <w:rPr>
          <w:color w:val="auto"/>
        </w:rPr>
        <w:t>ë</w:t>
      </w:r>
      <w:r w:rsidR="00002DC1" w:rsidRPr="00C55940">
        <w:rPr>
          <w:color w:val="auto"/>
        </w:rPr>
        <w:t xml:space="preserve"> pagesave t</w:t>
      </w:r>
      <w:r w:rsidR="00207555" w:rsidRPr="00C55940">
        <w:rPr>
          <w:color w:val="auto"/>
        </w:rPr>
        <w:t>ë</w:t>
      </w:r>
      <w:r w:rsidR="00002DC1" w:rsidRPr="00C55940">
        <w:rPr>
          <w:color w:val="auto"/>
        </w:rPr>
        <w:t xml:space="preserve"> menjëhershme t</w:t>
      </w:r>
      <w:r w:rsidR="00207555" w:rsidRPr="00C55940">
        <w:rPr>
          <w:color w:val="auto"/>
        </w:rPr>
        <w:t>ë</w:t>
      </w:r>
      <w:r w:rsidR="00002DC1" w:rsidRPr="00C55940">
        <w:rPr>
          <w:color w:val="auto"/>
        </w:rPr>
        <w:t xml:space="preserve"> gjobave (</w:t>
      </w:r>
      <w:r w:rsidR="00794722" w:rsidRPr="00C55940">
        <w:rPr>
          <w:color w:val="auto"/>
        </w:rPr>
        <w:t>p.sh.</w:t>
      </w:r>
      <w:r w:rsidR="00002DC1" w:rsidRPr="00C55940">
        <w:rPr>
          <w:color w:val="auto"/>
        </w:rPr>
        <w:t xml:space="preserve">, nëse </w:t>
      </w:r>
      <w:r w:rsidR="00794722" w:rsidRPr="00C55940">
        <w:rPr>
          <w:color w:val="auto"/>
        </w:rPr>
        <w:t>një</w:t>
      </w:r>
      <w:r w:rsidR="00002DC1" w:rsidRPr="00C55940">
        <w:rPr>
          <w:color w:val="auto"/>
        </w:rPr>
        <w:t xml:space="preserve"> gjob</w:t>
      </w:r>
      <w:r w:rsidR="00207555" w:rsidRPr="00C55940">
        <w:rPr>
          <w:color w:val="auto"/>
        </w:rPr>
        <w:t>ë</w:t>
      </w:r>
      <w:r w:rsidR="00002DC1" w:rsidRPr="00C55940">
        <w:rPr>
          <w:color w:val="auto"/>
        </w:rPr>
        <w:t xml:space="preserve"> e aplikuar nga ATK, paguhet nga tatimpaguesi brenda </w:t>
      </w:r>
      <w:r w:rsidR="00794722" w:rsidRPr="00C55940">
        <w:rPr>
          <w:color w:val="auto"/>
        </w:rPr>
        <w:t>10</w:t>
      </w:r>
      <w:r w:rsidR="00002DC1" w:rsidRPr="00C55940">
        <w:rPr>
          <w:color w:val="auto"/>
        </w:rPr>
        <w:t xml:space="preserve"> ditëve, t</w:t>
      </w:r>
      <w:r w:rsidR="00207555" w:rsidRPr="00C55940">
        <w:rPr>
          <w:color w:val="auto"/>
        </w:rPr>
        <w:t>ë</w:t>
      </w:r>
      <w:r w:rsidR="00002DC1" w:rsidRPr="00C55940">
        <w:rPr>
          <w:color w:val="auto"/>
        </w:rPr>
        <w:t xml:space="preserve"> paguhet vetëm </w:t>
      </w:r>
      <w:r w:rsidR="00585E56" w:rsidRPr="00C55940">
        <w:rPr>
          <w:color w:val="auto"/>
        </w:rPr>
        <w:t>50% e gjobës)</w:t>
      </w:r>
      <w:r w:rsidRPr="00C55940">
        <w:rPr>
          <w:color w:val="auto"/>
        </w:rPr>
        <w:t xml:space="preserve">. </w:t>
      </w:r>
    </w:p>
    <w:p w:rsidR="004B1AD2" w:rsidRPr="00F420E1" w:rsidRDefault="004B1AD2" w:rsidP="008D672D">
      <w:pPr>
        <w:pStyle w:val="Default"/>
        <w:jc w:val="both"/>
        <w:rPr>
          <w:color w:val="002060"/>
        </w:rPr>
      </w:pPr>
    </w:p>
    <w:p w:rsidR="00161310" w:rsidRPr="00C55940" w:rsidRDefault="00161310" w:rsidP="008D672D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6C2CC8">
        <w:rPr>
          <w:b/>
          <w:bCs/>
          <w:color w:val="auto"/>
          <w:u w:val="single"/>
        </w:rPr>
        <w:t>Neni 63</w:t>
      </w:r>
      <w:r w:rsidR="006D464D">
        <w:rPr>
          <w:b/>
          <w:bCs/>
          <w:color w:val="auto"/>
          <w:u w:val="single"/>
        </w:rPr>
        <w:t>,</w:t>
      </w:r>
      <w:r w:rsidRPr="006C2CC8">
        <w:rPr>
          <w:b/>
          <w:bCs/>
          <w:color w:val="auto"/>
          <w:u w:val="single"/>
        </w:rPr>
        <w:t xml:space="preserve"> Veprat penale në fushën e tatimeve</w:t>
      </w:r>
      <w:r w:rsidR="00A8090D" w:rsidRPr="00C55940">
        <w:rPr>
          <w:b/>
          <w:bCs/>
          <w:color w:val="auto"/>
        </w:rPr>
        <w:t xml:space="preserve">, </w:t>
      </w:r>
      <w:r w:rsidR="00A8090D" w:rsidRPr="00C55940">
        <w:rPr>
          <w:color w:val="auto"/>
        </w:rPr>
        <w:t>te p</w:t>
      </w:r>
      <w:r w:rsidRPr="00C55940">
        <w:rPr>
          <w:color w:val="auto"/>
        </w:rPr>
        <w:t>aragrafi 4</w:t>
      </w:r>
      <w:r w:rsidR="00A8090D" w:rsidRPr="00C55940">
        <w:rPr>
          <w:color w:val="auto"/>
        </w:rPr>
        <w:t>, k</w:t>
      </w:r>
      <w:r w:rsidRPr="00C55940">
        <w:rPr>
          <w:color w:val="auto"/>
        </w:rPr>
        <w:t>jo dispozitë duhet t</w:t>
      </w:r>
      <w:r w:rsidR="00EF3447" w:rsidRPr="00C55940">
        <w:rPr>
          <w:color w:val="auto"/>
        </w:rPr>
        <w:t>’</w:t>
      </w:r>
      <w:r w:rsidRPr="00C55940">
        <w:rPr>
          <w:color w:val="auto"/>
        </w:rPr>
        <w:t xml:space="preserve">i paraprijë nenit </w:t>
      </w:r>
      <w:r w:rsidR="00BE7FFC" w:rsidRPr="00BE7FFC">
        <w:rPr>
          <w:color w:val="auto"/>
        </w:rPr>
        <w:t>313</w:t>
      </w:r>
      <w:r w:rsidRPr="00C55940">
        <w:rPr>
          <w:color w:val="auto"/>
        </w:rPr>
        <w:t xml:space="preserve"> të Kodit Penal të </w:t>
      </w:r>
      <w:r w:rsidR="00BE7FFC">
        <w:rPr>
          <w:color w:val="auto"/>
        </w:rPr>
        <w:t xml:space="preserve">Republikës së </w:t>
      </w:r>
      <w:r w:rsidRPr="00C55940">
        <w:rPr>
          <w:color w:val="auto"/>
        </w:rPr>
        <w:t>Kosovës në lidhje me veprat penale në fushën e tatimeve apo shmangien e kontributeve pensionale.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b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>het harmonizimi me Kodin Penal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Kosovës.</w:t>
      </w:r>
      <w:r w:rsidRPr="00C55940">
        <w:rPr>
          <w:iCs/>
          <w:color w:val="auto"/>
        </w:rPr>
        <w:t xml:space="preserve"> </w:t>
      </w:r>
    </w:p>
    <w:p w:rsidR="00161310" w:rsidRPr="00F420E1" w:rsidRDefault="00161310" w:rsidP="008D672D">
      <w:pPr>
        <w:pStyle w:val="Default"/>
        <w:jc w:val="both"/>
        <w:rPr>
          <w:color w:val="002060"/>
        </w:rPr>
      </w:pPr>
    </w:p>
    <w:p w:rsidR="00161310" w:rsidRPr="00C55940" w:rsidRDefault="00161310" w:rsidP="008D672D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6C2CC8">
        <w:rPr>
          <w:b/>
          <w:bCs/>
          <w:color w:val="auto"/>
          <w:u w:val="single"/>
        </w:rPr>
        <w:t>Neni 72</w:t>
      </w:r>
      <w:r w:rsidR="00C951F7">
        <w:rPr>
          <w:b/>
          <w:bCs/>
          <w:color w:val="auto"/>
          <w:u w:val="single"/>
        </w:rPr>
        <w:t>,</w:t>
      </w:r>
      <w:r w:rsidRPr="006C2CC8">
        <w:rPr>
          <w:b/>
          <w:bCs/>
          <w:color w:val="auto"/>
          <w:u w:val="single"/>
        </w:rPr>
        <w:t xml:space="preserve"> Pjesëmarrja e ATK-së në procedurat gjyqësore</w:t>
      </w:r>
      <w:r w:rsidR="00EF3447" w:rsidRPr="00C55940">
        <w:rPr>
          <w:b/>
          <w:bCs/>
          <w:color w:val="auto"/>
        </w:rPr>
        <w:t xml:space="preserve">, </w:t>
      </w:r>
      <w:r w:rsidR="00EF3447" w:rsidRPr="00C55940">
        <w:rPr>
          <w:color w:val="auto"/>
        </w:rPr>
        <w:t>me</w:t>
      </w:r>
      <w:r w:rsidRPr="00C55940">
        <w:rPr>
          <w:color w:val="auto"/>
        </w:rPr>
        <w:t xml:space="preserve"> q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>llim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prezantimit sa me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drejt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fakteve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trajtuara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proceset e vlerësimit tatimor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tatimpaguesit nga ATK, duhet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rishikohet ky nen dhe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zgjerohen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drejtat e ATK</w:t>
      </w:r>
      <w:r w:rsidR="00EF3447" w:rsidRPr="00C55940">
        <w:rPr>
          <w:color w:val="auto"/>
        </w:rPr>
        <w:t>-s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proceset përfaqësuese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procedurat gjyqësore. Duhet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analizohet ana funksionale e përfaqësimit nga ATK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Gjykat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>. Konsiderojmë se është m</w:t>
      </w:r>
      <w:r w:rsidR="00207555" w:rsidRPr="00C55940">
        <w:rPr>
          <w:color w:val="auto"/>
        </w:rPr>
        <w:t>ë</w:t>
      </w:r>
      <w:r w:rsidR="00EF3447" w:rsidRPr="00C55940">
        <w:rPr>
          <w:color w:val="auto"/>
        </w:rPr>
        <w:t xml:space="preserve"> </w:t>
      </w:r>
      <w:r w:rsidRPr="00C55940">
        <w:rPr>
          <w:color w:val="auto"/>
        </w:rPr>
        <w:t>se e nevojshme q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barrën e provës ta ke</w:t>
      </w:r>
      <w:r w:rsidR="00EF3447" w:rsidRPr="00C55940">
        <w:rPr>
          <w:color w:val="auto"/>
        </w:rPr>
        <w:t>t</w:t>
      </w:r>
      <w:r w:rsidRPr="00C55940">
        <w:rPr>
          <w:color w:val="auto"/>
        </w:rPr>
        <w:t xml:space="preserve">ë ATK. </w:t>
      </w:r>
    </w:p>
    <w:p w:rsidR="00097882" w:rsidRPr="00C55940" w:rsidRDefault="00097882" w:rsidP="008D672D">
      <w:pPr>
        <w:pStyle w:val="Default"/>
        <w:jc w:val="both"/>
        <w:rPr>
          <w:color w:val="auto"/>
        </w:rPr>
      </w:pPr>
    </w:p>
    <w:p w:rsidR="00161310" w:rsidRPr="00C55940" w:rsidRDefault="00161310" w:rsidP="008D672D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6C2CC8">
        <w:rPr>
          <w:b/>
          <w:bCs/>
          <w:color w:val="auto"/>
          <w:u w:val="single"/>
        </w:rPr>
        <w:t>Neni 77</w:t>
      </w:r>
      <w:r w:rsidR="00C951F7">
        <w:rPr>
          <w:b/>
          <w:bCs/>
          <w:color w:val="auto"/>
          <w:u w:val="single"/>
        </w:rPr>
        <w:t>,</w:t>
      </w:r>
      <w:r w:rsidRPr="006C2CC8">
        <w:rPr>
          <w:b/>
          <w:bCs/>
          <w:color w:val="auto"/>
          <w:u w:val="single"/>
        </w:rPr>
        <w:t xml:space="preserve"> Ankesat në Administratën Tatimore</w:t>
      </w:r>
      <w:r w:rsidR="00EF3447" w:rsidRPr="00C55940">
        <w:rPr>
          <w:b/>
          <w:bCs/>
          <w:color w:val="auto"/>
        </w:rPr>
        <w:t xml:space="preserve">, </w:t>
      </w:r>
      <w:r w:rsidR="00EF3447" w:rsidRPr="00C55940">
        <w:rPr>
          <w:color w:val="auto"/>
        </w:rPr>
        <w:t>k</w:t>
      </w:r>
      <w:r w:rsidRPr="00C55940">
        <w:rPr>
          <w:color w:val="auto"/>
        </w:rPr>
        <w:t>rahas lehtësimeve dhe thjeshtësimit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ndëshkimeve dhe gjobave duhet </w:t>
      </w:r>
      <w:r w:rsidR="00EF3447" w:rsidRPr="00C55940">
        <w:rPr>
          <w:color w:val="auto"/>
        </w:rPr>
        <w:t>t</w:t>
      </w:r>
      <w:r w:rsidR="00207555" w:rsidRPr="00C55940">
        <w:rPr>
          <w:color w:val="auto"/>
        </w:rPr>
        <w:t>ë</w:t>
      </w:r>
      <w:r w:rsidR="00EF3447" w:rsidRPr="00C55940">
        <w:rPr>
          <w:color w:val="auto"/>
        </w:rPr>
        <w:t xml:space="preserve"> </w:t>
      </w:r>
      <w:r w:rsidRPr="00C55940">
        <w:rPr>
          <w:color w:val="auto"/>
        </w:rPr>
        <w:t>rishikohet edhe afati i kthimit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vendimit (përgjigjes) palës s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pakënaqur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një afat m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shkurtër. Po ashtu</w:t>
      </w:r>
      <w:r w:rsidR="00EF3447" w:rsidRPr="00C55940">
        <w:rPr>
          <w:color w:val="auto"/>
        </w:rPr>
        <w:t>,</w:t>
      </w:r>
      <w:r w:rsidRPr="00C55940">
        <w:rPr>
          <w:color w:val="auto"/>
        </w:rPr>
        <w:t xml:space="preserve"> duhet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përputhen ankesat e </w:t>
      </w:r>
      <w:r w:rsidRPr="00C55940">
        <w:rPr>
          <w:bCs/>
          <w:color w:val="auto"/>
        </w:rPr>
        <w:t xml:space="preserve">tatimpaguesit </w:t>
      </w:r>
      <w:r w:rsidRPr="00C55940">
        <w:rPr>
          <w:color w:val="auto"/>
        </w:rPr>
        <w:t>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nivelet tjera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ankimimit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përputhje me </w:t>
      </w:r>
      <w:r w:rsidRPr="00C55940">
        <w:rPr>
          <w:color w:val="auto"/>
        </w:rPr>
        <w:lastRenderedPageBreak/>
        <w:t>Institucionet tjera, përfshi</w:t>
      </w:r>
      <w:r w:rsidR="00EF3447" w:rsidRPr="00C55940">
        <w:rPr>
          <w:color w:val="auto"/>
        </w:rPr>
        <w:t>r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edhe mundësinë e pagesës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form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takse për tatimpaguesit q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ushtrojnë ankes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Departamentin e Ankesave. (t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korrigjohet teksti: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vend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BPR, tani Divizioni fiskal) </w:t>
      </w:r>
    </w:p>
    <w:p w:rsidR="00097882" w:rsidRPr="00C55940" w:rsidRDefault="00097882" w:rsidP="008D672D">
      <w:pPr>
        <w:pStyle w:val="Default"/>
        <w:jc w:val="both"/>
        <w:rPr>
          <w:color w:val="auto"/>
        </w:rPr>
      </w:pPr>
    </w:p>
    <w:p w:rsidR="00161310" w:rsidRPr="00C55940" w:rsidRDefault="00161310" w:rsidP="00EF3447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6C2CC8">
        <w:rPr>
          <w:b/>
          <w:bCs/>
          <w:color w:val="auto"/>
          <w:u w:val="single"/>
        </w:rPr>
        <w:t>Neni 78</w:t>
      </w:r>
      <w:r w:rsidR="00C951F7">
        <w:rPr>
          <w:b/>
          <w:bCs/>
          <w:color w:val="auto"/>
          <w:u w:val="single"/>
        </w:rPr>
        <w:t>,</w:t>
      </w:r>
      <w:r w:rsidRPr="006C2CC8">
        <w:rPr>
          <w:b/>
          <w:bCs/>
          <w:color w:val="auto"/>
          <w:u w:val="single"/>
        </w:rPr>
        <w:t xml:space="preserve"> Themelimi i Bordit të Pav</w:t>
      </w:r>
      <w:r w:rsidR="00220208" w:rsidRPr="006C2CC8">
        <w:rPr>
          <w:b/>
          <w:bCs/>
          <w:color w:val="auto"/>
          <w:u w:val="single"/>
        </w:rPr>
        <w:t>arur për Rishqyrtime</w:t>
      </w:r>
      <w:r w:rsidR="00220208" w:rsidRPr="00C55940">
        <w:rPr>
          <w:b/>
          <w:bCs/>
          <w:color w:val="auto"/>
        </w:rPr>
        <w:t xml:space="preserve">, </w:t>
      </w:r>
      <w:r w:rsidR="00220208" w:rsidRPr="00C55940">
        <w:rPr>
          <w:color w:val="auto"/>
        </w:rPr>
        <w:t>t</w:t>
      </w:r>
      <w:r w:rsidR="00207555" w:rsidRPr="00C55940">
        <w:rPr>
          <w:color w:val="auto"/>
        </w:rPr>
        <w:t>ë</w:t>
      </w:r>
      <w:r w:rsidR="00220208" w:rsidRPr="00C55940">
        <w:rPr>
          <w:color w:val="auto"/>
        </w:rPr>
        <w:t xml:space="preserve"> riformulohet dispozita konform Ligjit Nr. 04/L-102.</w:t>
      </w:r>
    </w:p>
    <w:p w:rsidR="00097882" w:rsidRPr="00C55940" w:rsidRDefault="00097882" w:rsidP="008D672D">
      <w:pPr>
        <w:pStyle w:val="Default"/>
        <w:jc w:val="both"/>
        <w:rPr>
          <w:color w:val="auto"/>
        </w:rPr>
      </w:pPr>
    </w:p>
    <w:p w:rsidR="00161310" w:rsidRPr="00C55940" w:rsidRDefault="00161310" w:rsidP="008D672D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6C2CC8">
        <w:rPr>
          <w:b/>
          <w:bCs/>
          <w:color w:val="auto"/>
          <w:u w:val="single"/>
        </w:rPr>
        <w:t>Neni 82</w:t>
      </w:r>
      <w:r w:rsidR="00C951F7">
        <w:rPr>
          <w:b/>
          <w:bCs/>
          <w:color w:val="auto"/>
          <w:u w:val="single"/>
        </w:rPr>
        <w:t>,</w:t>
      </w:r>
      <w:r w:rsidRPr="006C2CC8">
        <w:rPr>
          <w:b/>
          <w:bCs/>
          <w:color w:val="auto"/>
          <w:u w:val="single"/>
        </w:rPr>
        <w:t xml:space="preserve"> Detyrimi për të paguar gjatë procedurës së ankesave</w:t>
      </w:r>
      <w:r w:rsidR="00EF3447" w:rsidRPr="00C55940">
        <w:rPr>
          <w:b/>
          <w:bCs/>
          <w:color w:val="auto"/>
        </w:rPr>
        <w:t xml:space="preserve">, </w:t>
      </w:r>
      <w:r w:rsidR="00EF3447" w:rsidRPr="00C55940">
        <w:rPr>
          <w:color w:val="auto"/>
        </w:rPr>
        <w:t>t</w:t>
      </w:r>
      <w:r w:rsidR="00207555" w:rsidRPr="00C55940">
        <w:rPr>
          <w:color w:val="auto"/>
        </w:rPr>
        <w:t>ë</w:t>
      </w:r>
      <w:r w:rsidR="00EF3447" w:rsidRPr="00C55940">
        <w:rPr>
          <w:color w:val="auto"/>
        </w:rPr>
        <w:t xml:space="preserve"> </w:t>
      </w:r>
      <w:r w:rsidR="006557B5" w:rsidRPr="00C55940">
        <w:rPr>
          <w:color w:val="auto"/>
        </w:rPr>
        <w:t>shtohet nj</w:t>
      </w:r>
      <w:r w:rsidR="00207555" w:rsidRPr="00C55940">
        <w:rPr>
          <w:color w:val="auto"/>
        </w:rPr>
        <w:t>ë</w:t>
      </w:r>
      <w:r w:rsidR="006557B5" w:rsidRPr="00C55940">
        <w:rPr>
          <w:color w:val="auto"/>
        </w:rPr>
        <w:t xml:space="preserve"> paragraf i ri p</w:t>
      </w:r>
      <w:r w:rsidR="00207555" w:rsidRPr="00C55940">
        <w:rPr>
          <w:color w:val="auto"/>
        </w:rPr>
        <w:t>ë</w:t>
      </w:r>
      <w:r w:rsidR="006557B5" w:rsidRPr="00C55940">
        <w:rPr>
          <w:color w:val="auto"/>
        </w:rPr>
        <w:t xml:space="preserve">r </w:t>
      </w:r>
      <w:r w:rsidR="00220208" w:rsidRPr="00C55940">
        <w:rPr>
          <w:color w:val="auto"/>
        </w:rPr>
        <w:t>vendos</w:t>
      </w:r>
      <w:r w:rsidR="006557B5" w:rsidRPr="00C55940">
        <w:rPr>
          <w:color w:val="auto"/>
        </w:rPr>
        <w:t>j</w:t>
      </w:r>
      <w:r w:rsidR="00220208" w:rsidRPr="00C55940">
        <w:rPr>
          <w:color w:val="auto"/>
        </w:rPr>
        <w:t xml:space="preserve">en </w:t>
      </w:r>
      <w:r w:rsidR="006557B5" w:rsidRPr="00C55940">
        <w:rPr>
          <w:color w:val="auto"/>
        </w:rPr>
        <w:t xml:space="preserve">e </w:t>
      </w:r>
      <w:r w:rsidR="00220208" w:rsidRPr="00C55940">
        <w:rPr>
          <w:color w:val="auto"/>
        </w:rPr>
        <w:t>kufizime</w:t>
      </w:r>
      <w:r w:rsidR="006557B5" w:rsidRPr="00C55940">
        <w:rPr>
          <w:color w:val="auto"/>
        </w:rPr>
        <w:t>ve</w:t>
      </w:r>
      <w:r w:rsidR="00220208" w:rsidRPr="00C55940">
        <w:rPr>
          <w:color w:val="auto"/>
        </w:rPr>
        <w:t xml:space="preserve"> n</w:t>
      </w:r>
      <w:r w:rsidR="00207555" w:rsidRPr="00C55940">
        <w:rPr>
          <w:color w:val="auto"/>
        </w:rPr>
        <w:t>ë</w:t>
      </w:r>
      <w:r w:rsidR="00220208" w:rsidRPr="00C55940">
        <w:rPr>
          <w:color w:val="auto"/>
        </w:rPr>
        <w:t xml:space="preserve"> mbledhjen e detyrueshme (konf</w:t>
      </w:r>
      <w:r w:rsidR="006557B5" w:rsidRPr="00C55940">
        <w:rPr>
          <w:color w:val="auto"/>
        </w:rPr>
        <w:t>iskim)</w:t>
      </w:r>
      <w:r w:rsidR="00220208" w:rsidRPr="00C55940">
        <w:rPr>
          <w:color w:val="auto"/>
        </w:rPr>
        <w:t xml:space="preserve"> edhe p</w:t>
      </w:r>
      <w:r w:rsidR="00207555" w:rsidRPr="00C55940">
        <w:rPr>
          <w:color w:val="auto"/>
        </w:rPr>
        <w:t>ë</w:t>
      </w:r>
      <w:r w:rsidR="00220208" w:rsidRPr="00C55940">
        <w:rPr>
          <w:color w:val="auto"/>
        </w:rPr>
        <w:t xml:space="preserve">r pasurinë e luajtshme, </w:t>
      </w:r>
      <w:r w:rsidR="006557B5" w:rsidRPr="00C55940">
        <w:rPr>
          <w:color w:val="auto"/>
        </w:rPr>
        <w:t>deri n</w:t>
      </w:r>
      <w:r w:rsidR="00207555" w:rsidRPr="00C55940">
        <w:rPr>
          <w:color w:val="auto"/>
        </w:rPr>
        <w:t>ë</w:t>
      </w:r>
      <w:r w:rsidR="006557B5" w:rsidRPr="00C55940">
        <w:rPr>
          <w:color w:val="auto"/>
        </w:rPr>
        <w:t xml:space="preserve"> vendimin nga Departamenti i Ankesave në ATK. Kj</w:t>
      </w:r>
      <w:r w:rsidRPr="00C55940">
        <w:rPr>
          <w:color w:val="auto"/>
        </w:rPr>
        <w:t xml:space="preserve">o </w:t>
      </w:r>
      <w:r w:rsidR="006557B5" w:rsidRPr="00C55940">
        <w:rPr>
          <w:color w:val="auto"/>
        </w:rPr>
        <w:t>do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krijoj një besueshmëri m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madhe p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>r ATK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raport me tatimpaguesit. </w:t>
      </w:r>
    </w:p>
    <w:p w:rsidR="00097882" w:rsidRPr="00C55940" w:rsidRDefault="00097882" w:rsidP="008D672D">
      <w:pPr>
        <w:pStyle w:val="Default"/>
        <w:jc w:val="both"/>
        <w:rPr>
          <w:color w:val="auto"/>
        </w:rPr>
      </w:pPr>
    </w:p>
    <w:p w:rsidR="00161310" w:rsidRPr="00C55940" w:rsidRDefault="00161310" w:rsidP="00EF3447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6C2CC8">
        <w:rPr>
          <w:b/>
          <w:bCs/>
          <w:color w:val="auto"/>
          <w:u w:val="single"/>
        </w:rPr>
        <w:t>Neni 85</w:t>
      </w:r>
      <w:r w:rsidR="00C951F7">
        <w:rPr>
          <w:b/>
          <w:bCs/>
          <w:color w:val="auto"/>
          <w:u w:val="single"/>
        </w:rPr>
        <w:t>,</w:t>
      </w:r>
      <w:r w:rsidRPr="006C2CC8">
        <w:rPr>
          <w:b/>
          <w:bCs/>
          <w:color w:val="auto"/>
          <w:u w:val="single"/>
        </w:rPr>
        <w:t xml:space="preserve"> Ruajtja e integritet të ATK-së dhe Kundër korrupsioni</w:t>
      </w:r>
      <w:r w:rsidR="00A42ECD" w:rsidRPr="00C55940">
        <w:rPr>
          <w:b/>
          <w:bCs/>
          <w:color w:val="auto"/>
        </w:rPr>
        <w:t xml:space="preserve">, </w:t>
      </w:r>
      <w:r w:rsidR="00A42ECD" w:rsidRPr="00C55940">
        <w:rPr>
          <w:color w:val="auto"/>
        </w:rPr>
        <w:t>të rishikohet p</w:t>
      </w:r>
      <w:r w:rsidR="00207555" w:rsidRPr="00C55940">
        <w:rPr>
          <w:color w:val="auto"/>
        </w:rPr>
        <w:t>ë</w:t>
      </w:r>
      <w:r w:rsidR="00A42ECD" w:rsidRPr="00C55940">
        <w:rPr>
          <w:color w:val="auto"/>
        </w:rPr>
        <w:t>r harmonizim me Ligjin p</w:t>
      </w:r>
      <w:r w:rsidR="00207555" w:rsidRPr="00C55940">
        <w:rPr>
          <w:color w:val="auto"/>
        </w:rPr>
        <w:t>ë</w:t>
      </w:r>
      <w:r w:rsidR="00A42ECD" w:rsidRPr="00C55940">
        <w:rPr>
          <w:color w:val="auto"/>
        </w:rPr>
        <w:t>r parandalimin e konfliktit t</w:t>
      </w:r>
      <w:r w:rsidR="00207555" w:rsidRPr="00C55940">
        <w:rPr>
          <w:color w:val="auto"/>
        </w:rPr>
        <w:t>ë</w:t>
      </w:r>
      <w:r w:rsidR="00A42ECD" w:rsidRPr="00C55940">
        <w:rPr>
          <w:color w:val="auto"/>
        </w:rPr>
        <w:t xml:space="preserve"> interesit.</w:t>
      </w:r>
      <w:r w:rsidRPr="00C55940">
        <w:rPr>
          <w:color w:val="auto"/>
        </w:rPr>
        <w:t xml:space="preserve"> </w:t>
      </w:r>
    </w:p>
    <w:p w:rsidR="00161310" w:rsidRPr="00C55940" w:rsidRDefault="00161310" w:rsidP="008D672D">
      <w:pPr>
        <w:pStyle w:val="Default"/>
        <w:jc w:val="both"/>
        <w:rPr>
          <w:color w:val="auto"/>
        </w:rPr>
      </w:pPr>
    </w:p>
    <w:p w:rsidR="00161310" w:rsidRPr="00C55940" w:rsidRDefault="00161310" w:rsidP="00184B44">
      <w:pPr>
        <w:pStyle w:val="Default"/>
        <w:numPr>
          <w:ilvl w:val="0"/>
          <w:numId w:val="22"/>
        </w:numPr>
        <w:jc w:val="both"/>
        <w:rPr>
          <w:color w:val="auto"/>
        </w:rPr>
      </w:pPr>
      <w:r w:rsidRPr="006C2CC8">
        <w:rPr>
          <w:b/>
          <w:bCs/>
          <w:color w:val="auto"/>
          <w:u w:val="single"/>
        </w:rPr>
        <w:t>Neni 86</w:t>
      </w:r>
      <w:r w:rsidR="00C951F7">
        <w:rPr>
          <w:b/>
          <w:bCs/>
          <w:color w:val="auto"/>
          <w:u w:val="single"/>
        </w:rPr>
        <w:t>,</w:t>
      </w:r>
      <w:r w:rsidRPr="006C2CC8">
        <w:rPr>
          <w:b/>
          <w:bCs/>
          <w:color w:val="auto"/>
          <w:u w:val="single"/>
        </w:rPr>
        <w:t xml:space="preserve"> Masat e përkohshme Ndërkombëtare</w:t>
      </w:r>
      <w:r w:rsidR="00E270B5" w:rsidRPr="00C55940">
        <w:rPr>
          <w:color w:val="auto"/>
        </w:rPr>
        <w:t>, të riformulohet duke ofruar sqarime më të qarta, përfshirë edhe riformulimin e emërtimit t</w:t>
      </w:r>
      <w:r w:rsidR="00207555" w:rsidRPr="00C55940">
        <w:rPr>
          <w:color w:val="auto"/>
        </w:rPr>
        <w:t>ë</w:t>
      </w:r>
      <w:r w:rsidR="00E270B5" w:rsidRPr="00C55940">
        <w:rPr>
          <w:color w:val="auto"/>
        </w:rPr>
        <w:t xml:space="preserve"> nenit.</w:t>
      </w:r>
      <w:r w:rsidRPr="00C55940">
        <w:rPr>
          <w:b/>
          <w:bCs/>
          <w:color w:val="auto"/>
        </w:rPr>
        <w:t xml:space="preserve"> </w:t>
      </w:r>
    </w:p>
    <w:p w:rsidR="00E801C6" w:rsidRPr="00C55940" w:rsidRDefault="00E801C6" w:rsidP="008D67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84B44" w:rsidRDefault="00184B44" w:rsidP="008D67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00B7" w:rsidRDefault="00AD0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00B7" w:rsidRPr="00C55940" w:rsidRDefault="00AD00B7" w:rsidP="008D67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84B44" w:rsidRPr="006C2CC8" w:rsidRDefault="00184B44" w:rsidP="006C2CC8">
      <w:pPr>
        <w:pStyle w:val="Heading2"/>
        <w:shd w:val="clear" w:color="auto" w:fill="C2D69B" w:themeFill="accent3" w:themeFillTint="99"/>
        <w:rPr>
          <w:rFonts w:ascii="Times New Roman" w:hAnsi="Times New Roman" w:cs="Times New Roman"/>
          <w:b/>
          <w:color w:val="auto"/>
          <w:sz w:val="28"/>
          <w:szCs w:val="24"/>
        </w:rPr>
      </w:pPr>
      <w:bookmarkStart w:id="8" w:name="_Toc504390429"/>
      <w:r w:rsidRPr="006C2CC8">
        <w:rPr>
          <w:rFonts w:ascii="Times New Roman" w:hAnsi="Times New Roman" w:cs="Times New Roman"/>
          <w:b/>
          <w:color w:val="auto"/>
          <w:sz w:val="28"/>
          <w:szCs w:val="24"/>
        </w:rPr>
        <w:t>Ligji për Tatimin mbi Vler</w:t>
      </w:r>
      <w:r w:rsidR="00207555" w:rsidRPr="006C2CC8">
        <w:rPr>
          <w:rFonts w:ascii="Times New Roman" w:hAnsi="Times New Roman" w:cs="Times New Roman"/>
          <w:b/>
          <w:color w:val="auto"/>
          <w:sz w:val="28"/>
          <w:szCs w:val="24"/>
        </w:rPr>
        <w:t>ë</w:t>
      </w:r>
      <w:r w:rsidRPr="006C2CC8">
        <w:rPr>
          <w:rFonts w:ascii="Times New Roman" w:hAnsi="Times New Roman" w:cs="Times New Roman"/>
          <w:b/>
          <w:color w:val="auto"/>
          <w:sz w:val="28"/>
          <w:szCs w:val="24"/>
        </w:rPr>
        <w:t>n e Shtuar:</w:t>
      </w:r>
      <w:bookmarkEnd w:id="8"/>
    </w:p>
    <w:p w:rsidR="00184B44" w:rsidRPr="00C55940" w:rsidRDefault="00184B44" w:rsidP="008D67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84B44" w:rsidRPr="00C55940" w:rsidRDefault="00184B44" w:rsidP="008D67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51533" w:rsidRPr="00C55940" w:rsidRDefault="00DC5559" w:rsidP="008D672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CC8">
        <w:rPr>
          <w:rFonts w:ascii="Times New Roman" w:hAnsi="Times New Roman" w:cs="Times New Roman"/>
          <w:b/>
          <w:sz w:val="24"/>
          <w:szCs w:val="24"/>
          <w:u w:val="single"/>
        </w:rPr>
        <w:t>Neni 20</w:t>
      </w:r>
      <w:r w:rsidR="006D464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184B44" w:rsidRPr="006C2CC8">
        <w:rPr>
          <w:rFonts w:ascii="Times New Roman" w:hAnsi="Times New Roman" w:cs="Times New Roman"/>
          <w:b/>
          <w:sz w:val="24"/>
          <w:szCs w:val="24"/>
          <w:u w:val="single"/>
        </w:rPr>
        <w:t xml:space="preserve"> Vendi i furnizimit t</w:t>
      </w:r>
      <w:r w:rsidR="00207555" w:rsidRPr="006C2CC8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="00184B44" w:rsidRPr="006C2CC8">
        <w:rPr>
          <w:rFonts w:ascii="Times New Roman" w:hAnsi="Times New Roman" w:cs="Times New Roman"/>
          <w:b/>
          <w:sz w:val="24"/>
          <w:szCs w:val="24"/>
          <w:u w:val="single"/>
        </w:rPr>
        <w:t xml:space="preserve"> sh</w:t>
      </w:r>
      <w:r w:rsidR="00207555" w:rsidRPr="006C2CC8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="00184B44" w:rsidRPr="006C2CC8">
        <w:rPr>
          <w:rFonts w:ascii="Times New Roman" w:hAnsi="Times New Roman" w:cs="Times New Roman"/>
          <w:b/>
          <w:sz w:val="24"/>
          <w:szCs w:val="24"/>
          <w:u w:val="single"/>
        </w:rPr>
        <w:t>rbimit</w:t>
      </w:r>
      <w:r w:rsidRPr="00C559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55940">
        <w:rPr>
          <w:rFonts w:ascii="Times New Roman" w:hAnsi="Times New Roman" w:cs="Times New Roman"/>
          <w:sz w:val="24"/>
          <w:szCs w:val="24"/>
        </w:rPr>
        <w:t>paragrafi 2,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>n</w:t>
      </w:r>
      <w:r w:rsidR="00B508FF" w:rsidRPr="00C55940">
        <w:rPr>
          <w:rFonts w:ascii="Times New Roman" w:hAnsi="Times New Roman" w:cs="Times New Roman"/>
          <w:sz w:val="24"/>
          <w:szCs w:val="24"/>
        </w:rPr>
        <w:t>-</w:t>
      </w:r>
      <w:r w:rsidR="00A06E08" w:rsidRPr="00C55940">
        <w:rPr>
          <w:rFonts w:ascii="Times New Roman" w:hAnsi="Times New Roman" w:cs="Times New Roman"/>
          <w:sz w:val="24"/>
          <w:szCs w:val="24"/>
        </w:rPr>
        <w:t xml:space="preserve"> </w:t>
      </w:r>
      <w:r w:rsidRPr="00C55940">
        <w:rPr>
          <w:rFonts w:ascii="Times New Roman" w:hAnsi="Times New Roman" w:cs="Times New Roman"/>
          <w:sz w:val="24"/>
          <w:szCs w:val="24"/>
        </w:rPr>
        <w:t>paragrafi 2.2, si dhe paragrafi 4,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>n</w:t>
      </w:r>
      <w:r w:rsidR="00B508FF" w:rsidRPr="00C55940">
        <w:rPr>
          <w:rFonts w:ascii="Times New Roman" w:hAnsi="Times New Roman" w:cs="Times New Roman"/>
          <w:sz w:val="24"/>
          <w:szCs w:val="24"/>
        </w:rPr>
        <w:t>-</w:t>
      </w:r>
      <w:r w:rsidRPr="00C55940">
        <w:rPr>
          <w:rFonts w:ascii="Times New Roman" w:hAnsi="Times New Roman" w:cs="Times New Roman"/>
          <w:sz w:val="24"/>
          <w:szCs w:val="24"/>
        </w:rPr>
        <w:t>paragrafi 4.2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rishikohe</w:t>
      </w:r>
      <w:r w:rsidR="00C951F7">
        <w:rPr>
          <w:rFonts w:ascii="Times New Roman" w:hAnsi="Times New Roman" w:cs="Times New Roman"/>
          <w:sz w:val="24"/>
          <w:szCs w:val="24"/>
        </w:rPr>
        <w:t>n, me qëllim të harmonizimit me Direktivën e BE-së</w:t>
      </w:r>
      <w:r w:rsidRPr="00C55940">
        <w:rPr>
          <w:rFonts w:ascii="Times New Roman" w:hAnsi="Times New Roman" w:cs="Times New Roman"/>
          <w:sz w:val="24"/>
          <w:szCs w:val="24"/>
        </w:rPr>
        <w:t>.</w:t>
      </w:r>
    </w:p>
    <w:p w:rsidR="00DC5559" w:rsidRPr="00C55940" w:rsidRDefault="00DC5559" w:rsidP="008D672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559" w:rsidRPr="00C55940" w:rsidRDefault="00DC5559" w:rsidP="008D672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CC8">
        <w:rPr>
          <w:rFonts w:ascii="Times New Roman" w:hAnsi="Times New Roman" w:cs="Times New Roman"/>
          <w:b/>
          <w:sz w:val="24"/>
          <w:szCs w:val="24"/>
          <w:u w:val="single"/>
        </w:rPr>
        <w:t>Neni 22</w:t>
      </w:r>
      <w:r w:rsidR="006D464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184B44" w:rsidRPr="006C2CC8">
        <w:rPr>
          <w:rFonts w:ascii="Times New Roman" w:hAnsi="Times New Roman" w:cs="Times New Roman"/>
          <w:b/>
          <w:sz w:val="24"/>
          <w:szCs w:val="24"/>
          <w:u w:val="single"/>
        </w:rPr>
        <w:t xml:space="preserve"> Momenti i lindjes s</w:t>
      </w:r>
      <w:r w:rsidR="00207555" w:rsidRPr="006C2CC8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="00184B44" w:rsidRPr="006C2CC8">
        <w:rPr>
          <w:rFonts w:ascii="Times New Roman" w:hAnsi="Times New Roman" w:cs="Times New Roman"/>
          <w:b/>
          <w:sz w:val="24"/>
          <w:szCs w:val="24"/>
          <w:u w:val="single"/>
        </w:rPr>
        <w:t xml:space="preserve"> detyrimit dhe ngarkimi me TVSH p</w:t>
      </w:r>
      <w:r w:rsidR="00207555" w:rsidRPr="006C2CC8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="00184B44" w:rsidRPr="006C2CC8">
        <w:rPr>
          <w:rFonts w:ascii="Times New Roman" w:hAnsi="Times New Roman" w:cs="Times New Roman"/>
          <w:b/>
          <w:sz w:val="24"/>
          <w:szCs w:val="24"/>
          <w:u w:val="single"/>
        </w:rPr>
        <w:t>r furnizimet e mallrave dhe sh</w:t>
      </w:r>
      <w:r w:rsidR="00207555" w:rsidRPr="006C2CC8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="00184B44" w:rsidRPr="006C2CC8">
        <w:rPr>
          <w:rFonts w:ascii="Times New Roman" w:hAnsi="Times New Roman" w:cs="Times New Roman"/>
          <w:b/>
          <w:sz w:val="24"/>
          <w:szCs w:val="24"/>
          <w:u w:val="single"/>
        </w:rPr>
        <w:t>rbimeve</w:t>
      </w:r>
      <w:r w:rsidRPr="00C559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55940">
        <w:rPr>
          <w:rFonts w:ascii="Times New Roman" w:hAnsi="Times New Roman" w:cs="Times New Roman"/>
          <w:sz w:val="24"/>
          <w:szCs w:val="24"/>
        </w:rPr>
        <w:t>paragrafi 2,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>n-paragrafi 2.3,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>n-n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>n-paragrafi 2.3.1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riformulohet.</w:t>
      </w:r>
    </w:p>
    <w:p w:rsidR="00A06E08" w:rsidRPr="00C55940" w:rsidRDefault="00A06E08" w:rsidP="008D672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E08" w:rsidRPr="00C55940" w:rsidRDefault="00A06E08" w:rsidP="008D672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CC8">
        <w:rPr>
          <w:rFonts w:ascii="Times New Roman" w:hAnsi="Times New Roman" w:cs="Times New Roman"/>
          <w:b/>
          <w:sz w:val="24"/>
          <w:szCs w:val="24"/>
          <w:u w:val="single"/>
        </w:rPr>
        <w:t>Neni 27</w:t>
      </w:r>
      <w:r w:rsidR="006D464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184B44" w:rsidRPr="006C2CC8">
        <w:rPr>
          <w:rFonts w:ascii="Times New Roman" w:hAnsi="Times New Roman" w:cs="Times New Roman"/>
          <w:b/>
          <w:sz w:val="24"/>
          <w:szCs w:val="24"/>
          <w:u w:val="single"/>
        </w:rPr>
        <w:t xml:space="preserve"> Lirimet p</w:t>
      </w:r>
      <w:r w:rsidR="00207555" w:rsidRPr="006C2CC8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="00184B44" w:rsidRPr="006C2CC8">
        <w:rPr>
          <w:rFonts w:ascii="Times New Roman" w:hAnsi="Times New Roman" w:cs="Times New Roman"/>
          <w:b/>
          <w:sz w:val="24"/>
          <w:szCs w:val="24"/>
          <w:u w:val="single"/>
        </w:rPr>
        <w:t>r aktivitetet e caktuara me interes publik</w:t>
      </w:r>
      <w:r w:rsidRPr="00C559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55940">
        <w:rPr>
          <w:rFonts w:ascii="Times New Roman" w:hAnsi="Times New Roman" w:cs="Times New Roman"/>
          <w:sz w:val="24"/>
          <w:szCs w:val="24"/>
        </w:rPr>
        <w:t>paragrafi 1,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>n-paragrafët 1.16 dhe 1.19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rishikohen për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qen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harmoni me Direktivën e BE-s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>.</w:t>
      </w:r>
    </w:p>
    <w:p w:rsidR="00DC5559" w:rsidRPr="00C55940" w:rsidRDefault="00DC5559" w:rsidP="008D672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CD6" w:rsidRPr="00C55940" w:rsidRDefault="00132F6B" w:rsidP="008D672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>Neni 33</w:t>
      </w:r>
      <w:r w:rsidR="006D464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Lirimet n</w:t>
      </w:r>
      <w:r w:rsidR="00207555" w:rsidRPr="00C951F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lidhje me transaksionet e caktuara q</w:t>
      </w:r>
      <w:r w:rsidR="00207555" w:rsidRPr="00C951F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trajtohen si eksporte</w:t>
      </w:r>
      <w:r w:rsidRPr="00C559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55940">
        <w:rPr>
          <w:rFonts w:ascii="Times New Roman" w:hAnsi="Times New Roman" w:cs="Times New Roman"/>
          <w:sz w:val="24"/>
          <w:szCs w:val="24"/>
        </w:rPr>
        <w:t>riformulim i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>n</w:t>
      </w:r>
      <w:r w:rsidR="00F85E9B" w:rsidRPr="00C55940">
        <w:rPr>
          <w:rFonts w:ascii="Times New Roman" w:hAnsi="Times New Roman" w:cs="Times New Roman"/>
          <w:sz w:val="24"/>
          <w:szCs w:val="24"/>
        </w:rPr>
        <w:t>-paragrafëve</w:t>
      </w:r>
      <w:r w:rsidRPr="00C55940">
        <w:rPr>
          <w:rFonts w:ascii="Times New Roman" w:hAnsi="Times New Roman" w:cs="Times New Roman"/>
          <w:sz w:val="24"/>
          <w:szCs w:val="24"/>
        </w:rPr>
        <w:t xml:space="preserve">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paragrafit 3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këtij neni.</w:t>
      </w:r>
    </w:p>
    <w:p w:rsidR="000D2CEE" w:rsidRPr="00C55940" w:rsidRDefault="000D2CEE" w:rsidP="008D672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01B" w:rsidRPr="00C55940" w:rsidRDefault="006B501B" w:rsidP="008D672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>Neni 38</w:t>
      </w:r>
      <w:r w:rsidR="006D464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866B4" w:rsidRPr="00C951F7">
        <w:rPr>
          <w:rFonts w:ascii="Times New Roman" w:hAnsi="Times New Roman" w:cs="Times New Roman"/>
          <w:b/>
          <w:sz w:val="24"/>
          <w:szCs w:val="24"/>
          <w:u w:val="single"/>
        </w:rPr>
        <w:t>Mënyra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e ushtrimit t</w:t>
      </w:r>
      <w:r w:rsidR="00207555" w:rsidRPr="00C951F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s</w:t>
      </w:r>
      <w:r w:rsidR="00207555" w:rsidRPr="00C951F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drejtës </w:t>
      </w:r>
      <w:r w:rsidR="003866B4" w:rsidRPr="00C951F7">
        <w:rPr>
          <w:rFonts w:ascii="Times New Roman" w:hAnsi="Times New Roman" w:cs="Times New Roman"/>
          <w:b/>
          <w:sz w:val="24"/>
          <w:szCs w:val="24"/>
          <w:u w:val="single"/>
        </w:rPr>
        <w:t>për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t</w:t>
      </w:r>
      <w:r w:rsidR="00207555" w:rsidRPr="00C951F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zbritur TVSH e zbritshme</w:t>
      </w:r>
      <w:r w:rsidR="00184B44" w:rsidRPr="00C559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84B44" w:rsidRPr="00C55940">
        <w:rPr>
          <w:rFonts w:ascii="Times New Roman" w:hAnsi="Times New Roman" w:cs="Times New Roman"/>
          <w:sz w:val="24"/>
          <w:szCs w:val="24"/>
        </w:rPr>
        <w:t>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shtohet paragraf i ri ku rekomandohet q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rast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</w:t>
      </w:r>
      <w:r w:rsidR="007A3C13" w:rsidRPr="00C55940">
        <w:rPr>
          <w:rFonts w:ascii="Times New Roman" w:hAnsi="Times New Roman" w:cs="Times New Roman"/>
          <w:sz w:val="24"/>
          <w:szCs w:val="24"/>
        </w:rPr>
        <w:t>mos aplikimit</w:t>
      </w:r>
      <w:r w:rsidRPr="00C55940">
        <w:rPr>
          <w:rFonts w:ascii="Times New Roman" w:hAnsi="Times New Roman" w:cs="Times New Roman"/>
          <w:sz w:val="24"/>
          <w:szCs w:val="24"/>
        </w:rPr>
        <w:t xml:space="preserve">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ngarkesës s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kundërt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TVSH-s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184B44" w:rsidRPr="00C55940">
        <w:rPr>
          <w:rFonts w:ascii="Times New Roman" w:hAnsi="Times New Roman" w:cs="Times New Roman"/>
          <w:sz w:val="24"/>
          <w:szCs w:val="24"/>
        </w:rPr>
        <w:t>,</w:t>
      </w:r>
      <w:r w:rsidRPr="00C55940">
        <w:rPr>
          <w:rFonts w:ascii="Times New Roman" w:hAnsi="Times New Roman" w:cs="Times New Roman"/>
          <w:sz w:val="24"/>
          <w:szCs w:val="24"/>
        </w:rPr>
        <w:t xml:space="preserve"> kur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tjerat kushte janë plotësuar,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mos </w:t>
      </w:r>
      <w:r w:rsidR="003866B4" w:rsidRPr="00C55940">
        <w:rPr>
          <w:rFonts w:ascii="Times New Roman" w:hAnsi="Times New Roman" w:cs="Times New Roman"/>
          <w:sz w:val="24"/>
          <w:szCs w:val="24"/>
        </w:rPr>
        <w:t>ketë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kufizim </w:t>
      </w:r>
      <w:r w:rsidR="003866B4" w:rsidRPr="00C55940">
        <w:rPr>
          <w:rFonts w:ascii="Times New Roman" w:hAnsi="Times New Roman" w:cs="Times New Roman"/>
          <w:sz w:val="24"/>
          <w:szCs w:val="24"/>
        </w:rPr>
        <w:t>për</w:t>
      </w:r>
      <w:r w:rsidRPr="00C55940">
        <w:rPr>
          <w:rFonts w:ascii="Times New Roman" w:hAnsi="Times New Roman" w:cs="Times New Roman"/>
          <w:sz w:val="24"/>
          <w:szCs w:val="24"/>
        </w:rPr>
        <w:t xml:space="preserve"> mosnjohje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TVSH-s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s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zbritshme deri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periudhën e fundit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vitit vijues</w:t>
      </w:r>
      <w:r w:rsidR="00184B44" w:rsidRPr="00C55940">
        <w:rPr>
          <w:rFonts w:ascii="Times New Roman" w:hAnsi="Times New Roman" w:cs="Times New Roman"/>
          <w:sz w:val="24"/>
          <w:szCs w:val="24"/>
        </w:rPr>
        <w:t>, por e drejta e zbritjes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184B44" w:rsidRPr="00C55940">
        <w:rPr>
          <w:rFonts w:ascii="Times New Roman" w:hAnsi="Times New Roman" w:cs="Times New Roman"/>
          <w:sz w:val="24"/>
          <w:szCs w:val="24"/>
        </w:rPr>
        <w:t xml:space="preserve"> k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184B44" w:rsidRPr="00C55940">
        <w:rPr>
          <w:rFonts w:ascii="Times New Roman" w:hAnsi="Times New Roman" w:cs="Times New Roman"/>
          <w:sz w:val="24"/>
          <w:szCs w:val="24"/>
        </w:rPr>
        <w:t>to raste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184B44" w:rsidRPr="00C55940">
        <w:rPr>
          <w:rFonts w:ascii="Times New Roman" w:hAnsi="Times New Roman" w:cs="Times New Roman"/>
          <w:sz w:val="24"/>
          <w:szCs w:val="24"/>
        </w:rPr>
        <w:t xml:space="preserve"> jet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184B44" w:rsidRPr="00C55940">
        <w:rPr>
          <w:rFonts w:ascii="Times New Roman" w:hAnsi="Times New Roman" w:cs="Times New Roman"/>
          <w:sz w:val="24"/>
          <w:szCs w:val="24"/>
        </w:rPr>
        <w:t xml:space="preserve"> e kufizuar me </w:t>
      </w:r>
      <w:r w:rsidR="0024552B" w:rsidRPr="00C55940">
        <w:rPr>
          <w:rFonts w:ascii="Times New Roman" w:hAnsi="Times New Roman" w:cs="Times New Roman"/>
          <w:sz w:val="24"/>
          <w:szCs w:val="24"/>
        </w:rPr>
        <w:t>periudhën</w:t>
      </w:r>
      <w:r w:rsidR="00184B44" w:rsidRPr="00C55940">
        <w:rPr>
          <w:rFonts w:ascii="Times New Roman" w:hAnsi="Times New Roman" w:cs="Times New Roman"/>
          <w:sz w:val="24"/>
          <w:szCs w:val="24"/>
        </w:rPr>
        <w:t xml:space="preserve"> 6 vjeçare</w:t>
      </w:r>
      <w:r w:rsidRPr="00C55940">
        <w:rPr>
          <w:rFonts w:ascii="Times New Roman" w:hAnsi="Times New Roman" w:cs="Times New Roman"/>
          <w:sz w:val="24"/>
          <w:szCs w:val="24"/>
        </w:rPr>
        <w:t>.</w:t>
      </w:r>
    </w:p>
    <w:p w:rsidR="004738CD" w:rsidRPr="00C55940" w:rsidRDefault="004738CD" w:rsidP="008D67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738CD" w:rsidRPr="00C55940" w:rsidRDefault="004738CD" w:rsidP="008D672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>Neni 40</w:t>
      </w:r>
      <w:r w:rsidR="006D464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Kërkesat </w:t>
      </w:r>
      <w:r w:rsidR="008E31F3" w:rsidRPr="00C951F7">
        <w:rPr>
          <w:rFonts w:ascii="Times New Roman" w:hAnsi="Times New Roman" w:cs="Times New Roman"/>
          <w:b/>
          <w:sz w:val="24"/>
          <w:szCs w:val="24"/>
          <w:u w:val="single"/>
        </w:rPr>
        <w:t>për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Rimbursim të TVSH-së</w:t>
      </w:r>
      <w:r w:rsidRPr="00C55940">
        <w:rPr>
          <w:rFonts w:ascii="Times New Roman" w:hAnsi="Times New Roman" w:cs="Times New Roman"/>
          <w:sz w:val="24"/>
          <w:szCs w:val="24"/>
        </w:rPr>
        <w:t>,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riformulohet duke inkorporuar procedurat e përcaktuara me Rregullore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brendshme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nxjerr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nga ATK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vitin 2017.</w:t>
      </w:r>
    </w:p>
    <w:p w:rsidR="004900F6" w:rsidRPr="00C55940" w:rsidRDefault="004900F6" w:rsidP="004900F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732B6" w:rsidRPr="00C55940" w:rsidRDefault="008732B6" w:rsidP="008D672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>Neni 41</w:t>
      </w:r>
      <w:r w:rsidR="006D464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Rregullimi i zbritjeve</w:t>
      </w:r>
      <w:r w:rsidRPr="00C559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55940">
        <w:rPr>
          <w:rFonts w:ascii="Times New Roman" w:hAnsi="Times New Roman" w:cs="Times New Roman"/>
          <w:sz w:val="24"/>
          <w:szCs w:val="24"/>
        </w:rPr>
        <w:t>për pasurinë e paluajtshme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behet 10 vite e jo 20 vite siç është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Ligjin aktual.</w:t>
      </w:r>
    </w:p>
    <w:p w:rsidR="000D2CEE" w:rsidRPr="00C55940" w:rsidRDefault="000D2CEE" w:rsidP="008D67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B501B" w:rsidRPr="00C55940" w:rsidRDefault="006B501B" w:rsidP="004900F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>Neni 42</w:t>
      </w:r>
      <w:r w:rsidR="006D464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900F6" w:rsidRPr="00C951F7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>britja e TVSH-s</w:t>
      </w:r>
      <w:r w:rsidR="00207555" w:rsidRPr="00C951F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="004900F6"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s</w:t>
      </w:r>
      <w:r w:rsidR="00207555" w:rsidRPr="00C951F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zbritshme n</w:t>
      </w:r>
      <w:r w:rsidR="00207555" w:rsidRPr="00C951F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fillimin e aktivitetit ekonomik si person i tatueshëm i regjistruar </w:t>
      </w:r>
      <w:r w:rsidR="00095DFE" w:rsidRPr="00C951F7">
        <w:rPr>
          <w:rFonts w:ascii="Times New Roman" w:hAnsi="Times New Roman" w:cs="Times New Roman"/>
          <w:b/>
          <w:sz w:val="24"/>
          <w:szCs w:val="24"/>
          <w:u w:val="single"/>
        </w:rPr>
        <w:t>për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T</w:t>
      </w:r>
      <w:r w:rsidR="004900F6" w:rsidRPr="00C951F7">
        <w:rPr>
          <w:rFonts w:ascii="Times New Roman" w:hAnsi="Times New Roman" w:cs="Times New Roman"/>
          <w:b/>
          <w:sz w:val="24"/>
          <w:szCs w:val="24"/>
          <w:u w:val="single"/>
        </w:rPr>
        <w:t>VSH</w:t>
      </w:r>
      <w:r w:rsidR="004900F6" w:rsidRPr="00C559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00F6" w:rsidRPr="00C55940">
        <w:rPr>
          <w:rFonts w:ascii="Times New Roman" w:hAnsi="Times New Roman" w:cs="Times New Roman"/>
          <w:sz w:val="24"/>
          <w:szCs w:val="24"/>
        </w:rPr>
        <w:t>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shtohet paragraf i ri ku duhet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njihet TVSH e zbritshme edhe </w:t>
      </w:r>
      <w:r w:rsidR="00095DFE" w:rsidRPr="00C55940">
        <w:rPr>
          <w:rFonts w:ascii="Times New Roman" w:hAnsi="Times New Roman" w:cs="Times New Roman"/>
          <w:sz w:val="24"/>
          <w:szCs w:val="24"/>
        </w:rPr>
        <w:t>për</w:t>
      </w:r>
      <w:r w:rsidRPr="00C55940">
        <w:rPr>
          <w:rFonts w:ascii="Times New Roman" w:hAnsi="Times New Roman" w:cs="Times New Roman"/>
          <w:sz w:val="24"/>
          <w:szCs w:val="24"/>
        </w:rPr>
        <w:t xml:space="preserve"> mallrat kapitale</w:t>
      </w:r>
      <w:r w:rsidR="004900F6" w:rsidRPr="00C55940">
        <w:rPr>
          <w:rFonts w:ascii="Times New Roman" w:hAnsi="Times New Roman" w:cs="Times New Roman"/>
          <w:sz w:val="24"/>
          <w:szCs w:val="24"/>
        </w:rPr>
        <w:t xml:space="preserve"> (p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4900F6" w:rsidRPr="00C55940">
        <w:rPr>
          <w:rFonts w:ascii="Times New Roman" w:hAnsi="Times New Roman" w:cs="Times New Roman"/>
          <w:sz w:val="24"/>
          <w:szCs w:val="24"/>
        </w:rPr>
        <w:t>r pjes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4900F6" w:rsidRPr="00C55940">
        <w:rPr>
          <w:rFonts w:ascii="Times New Roman" w:hAnsi="Times New Roman" w:cs="Times New Roman"/>
          <w:sz w:val="24"/>
          <w:szCs w:val="24"/>
        </w:rPr>
        <w:t xml:space="preserve">n e </w:t>
      </w:r>
      <w:r w:rsidR="0024552B" w:rsidRPr="00C55940">
        <w:rPr>
          <w:rFonts w:ascii="Times New Roman" w:hAnsi="Times New Roman" w:cs="Times New Roman"/>
          <w:sz w:val="24"/>
          <w:szCs w:val="24"/>
        </w:rPr>
        <w:t>pa zhvlerësuar</w:t>
      </w:r>
      <w:r w:rsidR="004900F6" w:rsidRPr="00C55940">
        <w:rPr>
          <w:rFonts w:ascii="Times New Roman" w:hAnsi="Times New Roman" w:cs="Times New Roman"/>
          <w:sz w:val="24"/>
          <w:szCs w:val="24"/>
        </w:rPr>
        <w:t>)</w:t>
      </w:r>
      <w:r w:rsidRPr="00C55940">
        <w:rPr>
          <w:rFonts w:ascii="Times New Roman" w:hAnsi="Times New Roman" w:cs="Times New Roman"/>
          <w:sz w:val="24"/>
          <w:szCs w:val="24"/>
        </w:rPr>
        <w:t xml:space="preserve">, e jo </w:t>
      </w:r>
      <w:r w:rsidR="00095DFE" w:rsidRPr="00C55940">
        <w:rPr>
          <w:rFonts w:ascii="Times New Roman" w:hAnsi="Times New Roman" w:cs="Times New Roman"/>
          <w:sz w:val="24"/>
          <w:szCs w:val="24"/>
        </w:rPr>
        <w:t>vetëm</w:t>
      </w:r>
      <w:r w:rsidRPr="00C55940">
        <w:rPr>
          <w:rFonts w:ascii="Times New Roman" w:hAnsi="Times New Roman" w:cs="Times New Roman"/>
          <w:sz w:val="24"/>
          <w:szCs w:val="24"/>
        </w:rPr>
        <w:t xml:space="preserve"> </w:t>
      </w:r>
      <w:r w:rsidR="00095DFE" w:rsidRPr="00C55940">
        <w:rPr>
          <w:rFonts w:ascii="Times New Roman" w:hAnsi="Times New Roman" w:cs="Times New Roman"/>
          <w:sz w:val="24"/>
          <w:szCs w:val="24"/>
        </w:rPr>
        <w:t>për</w:t>
      </w:r>
      <w:r w:rsidR="008732B6" w:rsidRPr="00C55940">
        <w:rPr>
          <w:rFonts w:ascii="Times New Roman" w:hAnsi="Times New Roman" w:cs="Times New Roman"/>
          <w:sz w:val="24"/>
          <w:szCs w:val="24"/>
        </w:rPr>
        <w:t xml:space="preserve"> mallrat q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8732B6" w:rsidRPr="00C55940">
        <w:rPr>
          <w:rFonts w:ascii="Times New Roman" w:hAnsi="Times New Roman" w:cs="Times New Roman"/>
          <w:sz w:val="24"/>
          <w:szCs w:val="24"/>
        </w:rPr>
        <w:t xml:space="preserve"> </w:t>
      </w:r>
      <w:r w:rsidR="004900F6" w:rsidRPr="00C55940">
        <w:rPr>
          <w:rFonts w:ascii="Times New Roman" w:hAnsi="Times New Roman" w:cs="Times New Roman"/>
          <w:sz w:val="24"/>
          <w:szCs w:val="24"/>
        </w:rPr>
        <w:t xml:space="preserve">tatimpaguesi </w:t>
      </w:r>
      <w:r w:rsidR="008732B6" w:rsidRPr="00C55940">
        <w:rPr>
          <w:rFonts w:ascii="Times New Roman" w:hAnsi="Times New Roman" w:cs="Times New Roman"/>
          <w:sz w:val="24"/>
          <w:szCs w:val="24"/>
        </w:rPr>
        <w:t>i ka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8732B6" w:rsidRPr="00C55940">
        <w:rPr>
          <w:rFonts w:ascii="Times New Roman" w:hAnsi="Times New Roman" w:cs="Times New Roman"/>
          <w:sz w:val="24"/>
          <w:szCs w:val="24"/>
        </w:rPr>
        <w:t xml:space="preserve"> stok, si dhe kufizimi i afatit kohor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8732B6" w:rsidRPr="00C55940">
        <w:rPr>
          <w:rFonts w:ascii="Times New Roman" w:hAnsi="Times New Roman" w:cs="Times New Roman"/>
          <w:sz w:val="24"/>
          <w:szCs w:val="24"/>
        </w:rPr>
        <w:t xml:space="preserve"> blerjes s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8732B6" w:rsidRPr="00C55940">
        <w:rPr>
          <w:rFonts w:ascii="Times New Roman" w:hAnsi="Times New Roman" w:cs="Times New Roman"/>
          <w:sz w:val="24"/>
          <w:szCs w:val="24"/>
        </w:rPr>
        <w:t xml:space="preserve"> mallrave/</w:t>
      </w:r>
      <w:proofErr w:type="spellStart"/>
      <w:r w:rsidR="008732B6" w:rsidRPr="00C55940">
        <w:rPr>
          <w:rFonts w:ascii="Times New Roman" w:hAnsi="Times New Roman" w:cs="Times New Roman"/>
          <w:sz w:val="24"/>
          <w:szCs w:val="24"/>
        </w:rPr>
        <w:t>aseteve</w:t>
      </w:r>
      <w:proofErr w:type="spellEnd"/>
      <w:r w:rsidR="008732B6" w:rsidRPr="00C55940">
        <w:rPr>
          <w:rFonts w:ascii="Times New Roman" w:hAnsi="Times New Roman" w:cs="Times New Roman"/>
          <w:sz w:val="24"/>
          <w:szCs w:val="24"/>
        </w:rPr>
        <w:t>.</w:t>
      </w:r>
    </w:p>
    <w:p w:rsidR="00F46336" w:rsidRPr="00C55940" w:rsidRDefault="00F46336" w:rsidP="008D67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73441" w:rsidRPr="00C55940" w:rsidRDefault="00673441" w:rsidP="008D672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>Neni 43</w:t>
      </w:r>
      <w:r w:rsidR="006D464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Borxhi i keq </w:t>
      </w:r>
      <w:r w:rsidR="00F46336" w:rsidRPr="00C951F7">
        <w:rPr>
          <w:rFonts w:ascii="Times New Roman" w:hAnsi="Times New Roman" w:cs="Times New Roman"/>
          <w:b/>
          <w:sz w:val="24"/>
          <w:szCs w:val="24"/>
          <w:u w:val="single"/>
        </w:rPr>
        <w:t>për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nevoja t</w:t>
      </w:r>
      <w:r w:rsidR="00207555" w:rsidRPr="00C951F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TVSH-s</w:t>
      </w:r>
      <w:r w:rsidR="00207555" w:rsidRPr="00C951F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C55940">
        <w:rPr>
          <w:rFonts w:ascii="Times New Roman" w:hAnsi="Times New Roman" w:cs="Times New Roman"/>
          <w:b/>
          <w:sz w:val="24"/>
          <w:szCs w:val="24"/>
        </w:rPr>
        <w:t>,</w:t>
      </w:r>
      <w:r w:rsidRPr="00C55940">
        <w:rPr>
          <w:rFonts w:ascii="Times New Roman" w:hAnsi="Times New Roman" w:cs="Times New Roman"/>
          <w:sz w:val="24"/>
          <w:szCs w:val="24"/>
        </w:rPr>
        <w:t xml:space="preserve"> </w:t>
      </w:r>
      <w:r w:rsidR="00F46336" w:rsidRPr="00C55940">
        <w:rPr>
          <w:rFonts w:ascii="Times New Roman" w:hAnsi="Times New Roman" w:cs="Times New Roman"/>
          <w:sz w:val="24"/>
          <w:szCs w:val="24"/>
        </w:rPr>
        <w:t>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F46336" w:rsidRPr="00C55940">
        <w:rPr>
          <w:rFonts w:ascii="Times New Roman" w:hAnsi="Times New Roman" w:cs="Times New Roman"/>
          <w:sz w:val="24"/>
          <w:szCs w:val="24"/>
        </w:rPr>
        <w:t xml:space="preserve"> rishikohet ky nen dhe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F46336" w:rsidRPr="00C55940">
        <w:rPr>
          <w:rFonts w:ascii="Times New Roman" w:hAnsi="Times New Roman" w:cs="Times New Roman"/>
          <w:sz w:val="24"/>
          <w:szCs w:val="24"/>
        </w:rPr>
        <w:t xml:space="preserve"> caktohet kohëzgjatja se për çfarë periudhe mund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F46336" w:rsidRPr="00C55940">
        <w:rPr>
          <w:rFonts w:ascii="Times New Roman" w:hAnsi="Times New Roman" w:cs="Times New Roman"/>
          <w:sz w:val="24"/>
          <w:szCs w:val="24"/>
        </w:rPr>
        <w:t xml:space="preserve"> njihet borxhi i keq.</w:t>
      </w:r>
    </w:p>
    <w:p w:rsidR="00161302" w:rsidRPr="00C55940" w:rsidRDefault="00161302" w:rsidP="008D67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46336" w:rsidRPr="00C55940" w:rsidRDefault="00161302" w:rsidP="008D672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>Neni 47</w:t>
      </w:r>
      <w:r w:rsidR="006D464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Note debiti – not</w:t>
      </w:r>
      <w:r w:rsidR="00207555" w:rsidRPr="00C951F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krediti</w:t>
      </w:r>
      <w:r w:rsidRPr="00C55940">
        <w:rPr>
          <w:rFonts w:ascii="Times New Roman" w:hAnsi="Times New Roman" w:cs="Times New Roman"/>
          <w:sz w:val="24"/>
          <w:szCs w:val="24"/>
        </w:rPr>
        <w:t>,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riformulohet dhe not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debiti/krediti nuk duhet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lidhet vetëm me nenin 41.</w:t>
      </w:r>
    </w:p>
    <w:p w:rsidR="00161302" w:rsidRPr="00C55940" w:rsidRDefault="00161302" w:rsidP="008D67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61302" w:rsidRPr="00C55940" w:rsidRDefault="006072EE" w:rsidP="008D672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207555" w:rsidRPr="00C951F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rishikohet Shtojca III</w:t>
      </w:r>
      <w:r w:rsidRPr="00C55940">
        <w:rPr>
          <w:rFonts w:ascii="Times New Roman" w:hAnsi="Times New Roman" w:cs="Times New Roman"/>
          <w:sz w:val="24"/>
          <w:szCs w:val="24"/>
        </w:rPr>
        <w:t xml:space="preserve"> – Lista e furnizimeve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mallrave dhe shërbimeve për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cilat mund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4900F6" w:rsidRPr="00C55940">
        <w:rPr>
          <w:rFonts w:ascii="Times New Roman" w:hAnsi="Times New Roman" w:cs="Times New Roman"/>
          <w:sz w:val="24"/>
          <w:szCs w:val="24"/>
        </w:rPr>
        <w:t xml:space="preserve"> </w:t>
      </w:r>
      <w:r w:rsidRPr="00C55940">
        <w:rPr>
          <w:rFonts w:ascii="Times New Roman" w:hAnsi="Times New Roman" w:cs="Times New Roman"/>
          <w:sz w:val="24"/>
          <w:szCs w:val="24"/>
        </w:rPr>
        <w:t>zbatohen normat e ulura sipas paragrafit 3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nenit 26.</w:t>
      </w:r>
    </w:p>
    <w:p w:rsidR="004900F6" w:rsidRPr="00C55940" w:rsidRDefault="004900F6" w:rsidP="004900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00F6" w:rsidRPr="001A1D5B" w:rsidRDefault="004900F6" w:rsidP="006C2CC8">
      <w:pPr>
        <w:pStyle w:val="Heading2"/>
        <w:shd w:val="clear" w:color="auto" w:fill="B6DDE8" w:themeFill="accent5" w:themeFillTint="66"/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</w:pPr>
      <w:bookmarkStart w:id="9" w:name="_Toc504390430"/>
      <w:r w:rsidRPr="001A1D5B"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  <w:lastRenderedPageBreak/>
        <w:t>Ligji për Tatimin n</w:t>
      </w:r>
      <w:r w:rsidR="00207555" w:rsidRPr="001A1D5B"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  <w:t>ë</w:t>
      </w:r>
      <w:r w:rsidRPr="001A1D5B"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  <w:t xml:space="preserve"> t</w:t>
      </w:r>
      <w:r w:rsidR="00207555" w:rsidRPr="001A1D5B"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  <w:t>ë</w:t>
      </w:r>
      <w:r w:rsidRPr="001A1D5B"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  <w:t xml:space="preserve"> Ardhura Personale:</w:t>
      </w:r>
      <w:bookmarkEnd w:id="9"/>
    </w:p>
    <w:p w:rsidR="004900F6" w:rsidRPr="00C55940" w:rsidRDefault="004900F6" w:rsidP="004900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6D64" w:rsidRPr="00C55940" w:rsidRDefault="00BC6D64" w:rsidP="008D672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>Neni 7</w:t>
      </w:r>
      <w:r w:rsidR="006D464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900F6" w:rsidRPr="00C951F7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207555" w:rsidRPr="00C951F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ardhurat e tatueshme</w:t>
      </w:r>
      <w:r w:rsidRPr="00C55940">
        <w:rPr>
          <w:rFonts w:ascii="Times New Roman" w:hAnsi="Times New Roman" w:cs="Times New Roman"/>
          <w:sz w:val="24"/>
          <w:szCs w:val="24"/>
        </w:rPr>
        <w:t>,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shtohet nën-paragraf i ri 1.10 – </w:t>
      </w:r>
      <w:proofErr w:type="spellStart"/>
      <w:r w:rsidRPr="00C55940">
        <w:rPr>
          <w:rFonts w:ascii="Times New Roman" w:hAnsi="Times New Roman" w:cs="Times New Roman"/>
          <w:sz w:val="24"/>
          <w:szCs w:val="24"/>
        </w:rPr>
        <w:t>dividenta</w:t>
      </w:r>
      <w:proofErr w:type="spellEnd"/>
      <w:r w:rsidRPr="00C55940">
        <w:rPr>
          <w:rFonts w:ascii="Times New Roman" w:hAnsi="Times New Roman" w:cs="Times New Roman"/>
          <w:sz w:val="24"/>
          <w:szCs w:val="24"/>
        </w:rPr>
        <w:t xml:space="preserve"> e pranuar nga personi rezident dhe jo-rezident</w:t>
      </w:r>
      <w:r w:rsidR="006F74DB" w:rsidRPr="00C55940">
        <w:rPr>
          <w:rFonts w:ascii="Times New Roman" w:hAnsi="Times New Roman" w:cs="Times New Roman"/>
          <w:sz w:val="24"/>
          <w:szCs w:val="24"/>
        </w:rPr>
        <w:t>, sipas rekomandimeve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6F74DB" w:rsidRPr="00C55940">
        <w:rPr>
          <w:rFonts w:ascii="Times New Roman" w:hAnsi="Times New Roman" w:cs="Times New Roman"/>
          <w:sz w:val="24"/>
          <w:szCs w:val="24"/>
        </w:rPr>
        <w:t xml:space="preserve"> Asistencës teknike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6F74DB" w:rsidRPr="00C55940">
        <w:rPr>
          <w:rFonts w:ascii="Times New Roman" w:hAnsi="Times New Roman" w:cs="Times New Roman"/>
          <w:sz w:val="24"/>
          <w:szCs w:val="24"/>
        </w:rPr>
        <w:t xml:space="preserve"> Bashkimit Evropian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6F74DB" w:rsidRPr="00C55940">
        <w:rPr>
          <w:rFonts w:ascii="Times New Roman" w:hAnsi="Times New Roman" w:cs="Times New Roman"/>
          <w:sz w:val="24"/>
          <w:szCs w:val="24"/>
        </w:rPr>
        <w:t xml:space="preserve"> Kosove.</w:t>
      </w:r>
    </w:p>
    <w:p w:rsidR="00BC6D64" w:rsidRPr="00C55940" w:rsidRDefault="00BC6D64" w:rsidP="008D67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71FD7" w:rsidRPr="00C55940" w:rsidRDefault="00771FD7" w:rsidP="008D672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>Neni 8</w:t>
      </w:r>
      <w:r w:rsidR="006D464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900F6" w:rsidRPr="00C951F7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207555" w:rsidRPr="00C951F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ardhurat e përjashtuara</w:t>
      </w:r>
      <w:r w:rsidRPr="00C55940">
        <w:rPr>
          <w:rFonts w:ascii="Times New Roman" w:hAnsi="Times New Roman" w:cs="Times New Roman"/>
          <w:sz w:val="24"/>
          <w:szCs w:val="24"/>
        </w:rPr>
        <w:t>,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</w:t>
      </w:r>
      <w:r w:rsidR="000304FB" w:rsidRPr="00C55940">
        <w:rPr>
          <w:rFonts w:ascii="Times New Roman" w:hAnsi="Times New Roman" w:cs="Times New Roman"/>
          <w:sz w:val="24"/>
          <w:szCs w:val="24"/>
        </w:rPr>
        <w:t xml:space="preserve">riformulohet, si dhe të </w:t>
      </w:r>
      <w:r w:rsidRPr="00C55940">
        <w:rPr>
          <w:rFonts w:ascii="Times New Roman" w:hAnsi="Times New Roman" w:cs="Times New Roman"/>
          <w:sz w:val="24"/>
          <w:szCs w:val="24"/>
        </w:rPr>
        <w:t>shtohet paragrafi 1.28, me përmbajtjen si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vijim: </w:t>
      </w:r>
      <w:r w:rsidR="004900F6" w:rsidRPr="00C55940">
        <w:rPr>
          <w:rFonts w:ascii="Times New Roman" w:hAnsi="Times New Roman" w:cs="Times New Roman"/>
          <w:sz w:val="24"/>
          <w:szCs w:val="24"/>
        </w:rPr>
        <w:t>“</w:t>
      </w:r>
      <w:r w:rsidRPr="00C55940">
        <w:rPr>
          <w:rFonts w:ascii="Times New Roman" w:hAnsi="Times New Roman" w:cs="Times New Roman"/>
          <w:sz w:val="24"/>
          <w:szCs w:val="24"/>
        </w:rPr>
        <w:t xml:space="preserve">pasuria apo vlera e pasurisë se përvetësuar falas, me rastin e </w:t>
      </w:r>
      <w:r w:rsidR="002C0F29" w:rsidRPr="00C55940">
        <w:rPr>
          <w:rFonts w:ascii="Times New Roman" w:hAnsi="Times New Roman" w:cs="Times New Roman"/>
          <w:sz w:val="24"/>
          <w:szCs w:val="24"/>
        </w:rPr>
        <w:t>ndërrimit</w:t>
      </w:r>
      <w:r w:rsidRPr="00C55940">
        <w:rPr>
          <w:rFonts w:ascii="Times New Roman" w:hAnsi="Times New Roman" w:cs="Times New Roman"/>
          <w:sz w:val="24"/>
          <w:szCs w:val="24"/>
        </w:rPr>
        <w:t xml:space="preserve">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pronarit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biznesit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aprovuar nga ATK, </w:t>
      </w:r>
      <w:r w:rsidR="002C0F29" w:rsidRPr="00C55940">
        <w:rPr>
          <w:rFonts w:ascii="Times New Roman" w:hAnsi="Times New Roman" w:cs="Times New Roman"/>
          <w:sz w:val="24"/>
          <w:szCs w:val="24"/>
        </w:rPr>
        <w:t>është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e </w:t>
      </w:r>
      <w:r w:rsidR="002C0F29" w:rsidRPr="00C55940">
        <w:rPr>
          <w:rFonts w:ascii="Times New Roman" w:hAnsi="Times New Roman" w:cs="Times New Roman"/>
          <w:sz w:val="24"/>
          <w:szCs w:val="24"/>
        </w:rPr>
        <w:t>ardhur</w:t>
      </w:r>
      <w:r w:rsidRPr="00C55940">
        <w:rPr>
          <w:rFonts w:ascii="Times New Roman" w:hAnsi="Times New Roman" w:cs="Times New Roman"/>
          <w:sz w:val="24"/>
          <w:szCs w:val="24"/>
        </w:rPr>
        <w:t xml:space="preserve"> e përjashtuar </w:t>
      </w:r>
      <w:r w:rsidR="002C0F29" w:rsidRPr="00C55940">
        <w:rPr>
          <w:rFonts w:ascii="Times New Roman" w:hAnsi="Times New Roman" w:cs="Times New Roman"/>
          <w:sz w:val="24"/>
          <w:szCs w:val="24"/>
        </w:rPr>
        <w:t>për</w:t>
      </w:r>
      <w:r w:rsidRPr="00C55940">
        <w:rPr>
          <w:rFonts w:ascii="Times New Roman" w:hAnsi="Times New Roman" w:cs="Times New Roman"/>
          <w:sz w:val="24"/>
          <w:szCs w:val="24"/>
        </w:rPr>
        <w:t xml:space="preserve"> përvetësuesin (pronarin e ri) me kusht q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pronari i ri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jet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bashkëshort/e apo pasardhës i pronarit (vajza, djali dhe i/e adaptuari), prindi apo pasardhësi i tij (vëllai apo motra).</w:t>
      </w:r>
    </w:p>
    <w:p w:rsidR="000B5CEC" w:rsidRPr="00C55940" w:rsidRDefault="000304FB" w:rsidP="008D67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55940">
        <w:rPr>
          <w:rFonts w:ascii="Times New Roman" w:hAnsi="Times New Roman" w:cs="Times New Roman"/>
          <w:sz w:val="24"/>
          <w:szCs w:val="24"/>
        </w:rPr>
        <w:t>Po ashtu, paragrafi 1.2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riformulohet, </w:t>
      </w:r>
      <w:r w:rsidR="00546162" w:rsidRPr="00C55940">
        <w:rPr>
          <w:rFonts w:ascii="Times New Roman" w:hAnsi="Times New Roman" w:cs="Times New Roman"/>
          <w:sz w:val="24"/>
          <w:szCs w:val="24"/>
        </w:rPr>
        <w:t>paragrafi 1.12 (t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546162" w:rsidRPr="00C55940">
        <w:rPr>
          <w:rFonts w:ascii="Times New Roman" w:hAnsi="Times New Roman" w:cs="Times New Roman"/>
          <w:sz w:val="24"/>
          <w:szCs w:val="24"/>
        </w:rPr>
        <w:t xml:space="preserve"> ardhura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546162" w:rsidRPr="00C55940">
        <w:rPr>
          <w:rFonts w:ascii="Times New Roman" w:hAnsi="Times New Roman" w:cs="Times New Roman"/>
          <w:sz w:val="24"/>
          <w:szCs w:val="24"/>
        </w:rPr>
        <w:t xml:space="preserve"> përjashtua - pagat e personave me nevoja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546162" w:rsidRPr="00C55940">
        <w:rPr>
          <w:rFonts w:ascii="Times New Roman" w:hAnsi="Times New Roman" w:cs="Times New Roman"/>
          <w:sz w:val="24"/>
          <w:szCs w:val="24"/>
        </w:rPr>
        <w:t xml:space="preserve"> veçanta) i këtij neni,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546162" w:rsidRPr="00C55940">
        <w:rPr>
          <w:rFonts w:ascii="Times New Roman" w:hAnsi="Times New Roman" w:cs="Times New Roman"/>
          <w:sz w:val="24"/>
          <w:szCs w:val="24"/>
        </w:rPr>
        <w:t xml:space="preserve"> plotësohet me kompetencën e autoritetit shtetëror q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546162" w:rsidRPr="00C55940">
        <w:rPr>
          <w:rFonts w:ascii="Times New Roman" w:hAnsi="Times New Roman" w:cs="Times New Roman"/>
          <w:sz w:val="24"/>
          <w:szCs w:val="24"/>
        </w:rPr>
        <w:t xml:space="preserve"> dëshmon invaliditetin e personit.</w:t>
      </w:r>
    </w:p>
    <w:p w:rsidR="00301870" w:rsidRPr="00C55940" w:rsidRDefault="00301870" w:rsidP="008D67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55940">
        <w:rPr>
          <w:rFonts w:ascii="Times New Roman" w:hAnsi="Times New Roman" w:cs="Times New Roman"/>
          <w:sz w:val="24"/>
          <w:szCs w:val="24"/>
        </w:rPr>
        <w:t>Paragrafi 1.14,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riformulohet dhe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fshihen nën-paragrafët 1.14.1 dhe 1.14.2.</w:t>
      </w:r>
    </w:p>
    <w:p w:rsidR="00BC6D64" w:rsidRPr="00C55940" w:rsidRDefault="00BC6D64" w:rsidP="008D67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55940">
        <w:rPr>
          <w:rFonts w:ascii="Times New Roman" w:hAnsi="Times New Roman" w:cs="Times New Roman"/>
          <w:sz w:val="24"/>
          <w:szCs w:val="24"/>
        </w:rPr>
        <w:t xml:space="preserve">Paragrafi 1.26 – </w:t>
      </w:r>
      <w:proofErr w:type="spellStart"/>
      <w:r w:rsidRPr="00C55940">
        <w:rPr>
          <w:rFonts w:ascii="Times New Roman" w:hAnsi="Times New Roman" w:cs="Times New Roman"/>
          <w:sz w:val="24"/>
          <w:szCs w:val="24"/>
        </w:rPr>
        <w:t>dividenta</w:t>
      </w:r>
      <w:proofErr w:type="spellEnd"/>
      <w:r w:rsidRPr="00C55940">
        <w:rPr>
          <w:rFonts w:ascii="Times New Roman" w:hAnsi="Times New Roman" w:cs="Times New Roman"/>
          <w:sz w:val="24"/>
          <w:szCs w:val="24"/>
        </w:rPr>
        <w:t xml:space="preserve"> e pranuar nga personi rezid</w:t>
      </w:r>
      <w:r w:rsidR="006F74DB" w:rsidRPr="00C55940">
        <w:rPr>
          <w:rFonts w:ascii="Times New Roman" w:hAnsi="Times New Roman" w:cs="Times New Roman"/>
          <w:sz w:val="24"/>
          <w:szCs w:val="24"/>
        </w:rPr>
        <w:t>ent dhe jo-rezident,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6F74DB" w:rsidRPr="00C55940">
        <w:rPr>
          <w:rFonts w:ascii="Times New Roman" w:hAnsi="Times New Roman" w:cs="Times New Roman"/>
          <w:sz w:val="24"/>
          <w:szCs w:val="24"/>
        </w:rPr>
        <w:t xml:space="preserve"> fshihet, sipas rekomandimeve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6F74DB" w:rsidRPr="00C55940">
        <w:rPr>
          <w:rFonts w:ascii="Times New Roman" w:hAnsi="Times New Roman" w:cs="Times New Roman"/>
          <w:sz w:val="24"/>
          <w:szCs w:val="24"/>
        </w:rPr>
        <w:t xml:space="preserve"> Asistencës teknike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6F74DB" w:rsidRPr="00C55940">
        <w:rPr>
          <w:rFonts w:ascii="Times New Roman" w:hAnsi="Times New Roman" w:cs="Times New Roman"/>
          <w:sz w:val="24"/>
          <w:szCs w:val="24"/>
        </w:rPr>
        <w:t xml:space="preserve"> Bashkimit Evropian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6F74DB" w:rsidRPr="00C55940">
        <w:rPr>
          <w:rFonts w:ascii="Times New Roman" w:hAnsi="Times New Roman" w:cs="Times New Roman"/>
          <w:sz w:val="24"/>
          <w:szCs w:val="24"/>
        </w:rPr>
        <w:t xml:space="preserve"> Kosov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6F74DB" w:rsidRPr="00C55940">
        <w:rPr>
          <w:rFonts w:ascii="Times New Roman" w:hAnsi="Times New Roman" w:cs="Times New Roman"/>
          <w:sz w:val="24"/>
          <w:szCs w:val="24"/>
        </w:rPr>
        <w:t>.</w:t>
      </w:r>
    </w:p>
    <w:p w:rsidR="00CE5974" w:rsidRPr="00C55940" w:rsidRDefault="00CE5974" w:rsidP="008D67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55940">
        <w:rPr>
          <w:rFonts w:ascii="Times New Roman" w:hAnsi="Times New Roman" w:cs="Times New Roman"/>
          <w:sz w:val="24"/>
          <w:szCs w:val="24"/>
        </w:rPr>
        <w:t xml:space="preserve">Paragrafi 1.27 - Pushimet tatimore dhe lehtësirat </w:t>
      </w:r>
      <w:r w:rsidR="001C69D3" w:rsidRPr="00C55940">
        <w:rPr>
          <w:rFonts w:ascii="Times New Roman" w:hAnsi="Times New Roman" w:cs="Times New Roman"/>
          <w:sz w:val="24"/>
          <w:szCs w:val="24"/>
        </w:rPr>
        <w:t>për</w:t>
      </w:r>
      <w:r w:rsidRPr="00C55940">
        <w:rPr>
          <w:rFonts w:ascii="Times New Roman" w:hAnsi="Times New Roman" w:cs="Times New Roman"/>
          <w:sz w:val="24"/>
          <w:szCs w:val="24"/>
        </w:rPr>
        <w:t xml:space="preserve"> bizneset e reja,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riformulohet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përmbajtjen q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ofrohen vetëm lehtësira </w:t>
      </w:r>
      <w:r w:rsidR="001C69D3" w:rsidRPr="00C55940">
        <w:rPr>
          <w:rFonts w:ascii="Times New Roman" w:hAnsi="Times New Roman" w:cs="Times New Roman"/>
          <w:sz w:val="24"/>
          <w:szCs w:val="24"/>
        </w:rPr>
        <w:t>për</w:t>
      </w:r>
      <w:r w:rsidRPr="00C55940">
        <w:rPr>
          <w:rFonts w:ascii="Times New Roman" w:hAnsi="Times New Roman" w:cs="Times New Roman"/>
          <w:sz w:val="24"/>
          <w:szCs w:val="24"/>
        </w:rPr>
        <w:t xml:space="preserve">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gjitha bizneset,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cilat plotësojnë kriteret e përcaktuara me akt nënligjor.</w:t>
      </w:r>
    </w:p>
    <w:p w:rsidR="001813E2" w:rsidRPr="00C55940" w:rsidRDefault="001813E2" w:rsidP="008D67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C0F29" w:rsidRPr="00C55940" w:rsidRDefault="001813E2" w:rsidP="008D672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Neni 9, </w:t>
      </w:r>
      <w:r w:rsidR="004900F6" w:rsidRPr="00C951F7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207555" w:rsidRPr="00C951F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ardhurat nga pagat</w:t>
      </w:r>
      <w:r w:rsidRPr="00C55940">
        <w:rPr>
          <w:rFonts w:ascii="Times New Roman" w:hAnsi="Times New Roman" w:cs="Times New Roman"/>
          <w:sz w:val="24"/>
          <w:szCs w:val="24"/>
        </w:rPr>
        <w:t>, paragrafi 1.8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riformulohet me qellim q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mos </w:t>
      </w:r>
      <w:r w:rsidR="002C0F29" w:rsidRPr="00C55940">
        <w:rPr>
          <w:rFonts w:ascii="Times New Roman" w:hAnsi="Times New Roman" w:cs="Times New Roman"/>
          <w:sz w:val="24"/>
          <w:szCs w:val="24"/>
        </w:rPr>
        <w:t>ketë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dilema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rastet kur ka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b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>j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me përfitime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gjësende apo përfitime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natyr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>.</w:t>
      </w:r>
    </w:p>
    <w:p w:rsidR="002C0F29" w:rsidRPr="00C55940" w:rsidRDefault="002C0F29" w:rsidP="008D67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C0F29" w:rsidRPr="00C55940" w:rsidRDefault="001B4CAF" w:rsidP="008D672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>Neni 13</w:t>
      </w:r>
      <w:r w:rsidR="006D464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T</w:t>
      </w:r>
      <w:r w:rsidR="00207555" w:rsidRPr="00C951F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ardhurat nga interesi</w:t>
      </w:r>
      <w:r w:rsidR="00C951F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C55940">
        <w:rPr>
          <w:rFonts w:ascii="Times New Roman" w:hAnsi="Times New Roman" w:cs="Times New Roman"/>
          <w:sz w:val="24"/>
          <w:szCs w:val="24"/>
        </w:rPr>
        <w:t xml:space="preserve">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</w:t>
      </w:r>
      <w:r w:rsidR="001A61EA" w:rsidRPr="00C55940">
        <w:rPr>
          <w:rFonts w:ascii="Times New Roman" w:hAnsi="Times New Roman" w:cs="Times New Roman"/>
          <w:sz w:val="24"/>
          <w:szCs w:val="24"/>
        </w:rPr>
        <w:t>riformulohet dhe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1A61EA" w:rsidRPr="00C55940">
        <w:rPr>
          <w:rFonts w:ascii="Times New Roman" w:hAnsi="Times New Roman" w:cs="Times New Roman"/>
          <w:sz w:val="24"/>
          <w:szCs w:val="24"/>
        </w:rPr>
        <w:t xml:space="preserve"> </w:t>
      </w:r>
      <w:r w:rsidRPr="00C55940">
        <w:rPr>
          <w:rFonts w:ascii="Times New Roman" w:hAnsi="Times New Roman" w:cs="Times New Roman"/>
          <w:sz w:val="24"/>
          <w:szCs w:val="24"/>
        </w:rPr>
        <w:t>shtohet paragraf i ri</w:t>
      </w:r>
      <w:r w:rsidR="004900F6" w:rsidRPr="00C55940">
        <w:rPr>
          <w:rFonts w:ascii="Times New Roman" w:hAnsi="Times New Roman" w:cs="Times New Roman"/>
          <w:sz w:val="24"/>
          <w:szCs w:val="24"/>
        </w:rPr>
        <w:t>,</w:t>
      </w:r>
      <w:r w:rsidRPr="00C55940">
        <w:rPr>
          <w:rFonts w:ascii="Times New Roman" w:hAnsi="Times New Roman" w:cs="Times New Roman"/>
          <w:sz w:val="24"/>
          <w:szCs w:val="24"/>
        </w:rPr>
        <w:t xml:space="preserve"> i cili do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</w:t>
      </w:r>
      <w:r w:rsidR="00CC778D" w:rsidRPr="00C55940">
        <w:rPr>
          <w:rFonts w:ascii="Times New Roman" w:hAnsi="Times New Roman" w:cs="Times New Roman"/>
          <w:sz w:val="24"/>
          <w:szCs w:val="24"/>
        </w:rPr>
        <w:t>përcaktoj</w:t>
      </w:r>
      <w:r w:rsidRPr="00C55940">
        <w:rPr>
          <w:rFonts w:ascii="Times New Roman" w:hAnsi="Times New Roman" w:cs="Times New Roman"/>
          <w:sz w:val="24"/>
          <w:szCs w:val="24"/>
        </w:rPr>
        <w:t xml:space="preserve"> </w:t>
      </w:r>
      <w:r w:rsidR="00CC778D" w:rsidRPr="00C55940">
        <w:rPr>
          <w:rFonts w:ascii="Times New Roman" w:hAnsi="Times New Roman" w:cs="Times New Roman"/>
          <w:sz w:val="24"/>
          <w:szCs w:val="24"/>
        </w:rPr>
        <w:t xml:space="preserve">procedurat për trajtimin e </w:t>
      </w:r>
      <w:r w:rsidRPr="00C55940">
        <w:rPr>
          <w:rFonts w:ascii="Times New Roman" w:hAnsi="Times New Roman" w:cs="Times New Roman"/>
          <w:sz w:val="24"/>
          <w:szCs w:val="24"/>
        </w:rPr>
        <w:t>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ardhura</w:t>
      </w:r>
      <w:r w:rsidR="00CC778D" w:rsidRPr="00C55940">
        <w:rPr>
          <w:rFonts w:ascii="Times New Roman" w:hAnsi="Times New Roman" w:cs="Times New Roman"/>
          <w:sz w:val="24"/>
          <w:szCs w:val="24"/>
        </w:rPr>
        <w:t>ve</w:t>
      </w:r>
      <w:r w:rsidRPr="00C55940">
        <w:rPr>
          <w:rFonts w:ascii="Times New Roman" w:hAnsi="Times New Roman" w:cs="Times New Roman"/>
          <w:sz w:val="24"/>
          <w:szCs w:val="24"/>
        </w:rPr>
        <w:t xml:space="preserve"> nga interesi me </w:t>
      </w:r>
      <w:r w:rsidR="00CC778D" w:rsidRPr="00C55940">
        <w:rPr>
          <w:rFonts w:ascii="Times New Roman" w:hAnsi="Times New Roman" w:cs="Times New Roman"/>
          <w:sz w:val="24"/>
          <w:szCs w:val="24"/>
        </w:rPr>
        <w:t>një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akt nënligjor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nxjerre nga Ministri.</w:t>
      </w:r>
    </w:p>
    <w:p w:rsidR="00CC778D" w:rsidRPr="00C55940" w:rsidRDefault="00CC778D" w:rsidP="008D67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C778D" w:rsidRPr="00C55940" w:rsidRDefault="0042577B" w:rsidP="008D672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>Neni 15</w:t>
      </w:r>
      <w:r w:rsidR="006D464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Dispozitat e përgjithshme për shpenzimet</w:t>
      </w:r>
      <w:r w:rsidRPr="00C55940">
        <w:rPr>
          <w:rFonts w:ascii="Times New Roman" w:hAnsi="Times New Roman" w:cs="Times New Roman"/>
          <w:sz w:val="24"/>
          <w:szCs w:val="24"/>
        </w:rPr>
        <w:t>,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</w:t>
      </w:r>
      <w:r w:rsidR="00286F34" w:rsidRPr="00C55940">
        <w:rPr>
          <w:rFonts w:ascii="Times New Roman" w:hAnsi="Times New Roman" w:cs="Times New Roman"/>
          <w:sz w:val="24"/>
          <w:szCs w:val="24"/>
        </w:rPr>
        <w:t>riformulohet paragrafi 4 ku shuma 50,000€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286F34" w:rsidRPr="00C55940">
        <w:rPr>
          <w:rFonts w:ascii="Times New Roman" w:hAnsi="Times New Roman" w:cs="Times New Roman"/>
          <w:sz w:val="24"/>
          <w:szCs w:val="24"/>
        </w:rPr>
        <w:t xml:space="preserve"> harmonizohet me pragun për TVSH, si dhe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286F34" w:rsidRPr="00C55940">
        <w:rPr>
          <w:rFonts w:ascii="Times New Roman" w:hAnsi="Times New Roman" w:cs="Times New Roman"/>
          <w:sz w:val="24"/>
          <w:szCs w:val="24"/>
        </w:rPr>
        <w:t xml:space="preserve"> </w:t>
      </w:r>
      <w:r w:rsidRPr="00C55940">
        <w:rPr>
          <w:rFonts w:ascii="Times New Roman" w:hAnsi="Times New Roman" w:cs="Times New Roman"/>
          <w:sz w:val="24"/>
          <w:szCs w:val="24"/>
        </w:rPr>
        <w:t>shtohet paragraf i ri</w:t>
      </w:r>
      <w:r w:rsidR="004900F6" w:rsidRPr="00C55940">
        <w:rPr>
          <w:rFonts w:ascii="Times New Roman" w:hAnsi="Times New Roman" w:cs="Times New Roman"/>
          <w:sz w:val="24"/>
          <w:szCs w:val="24"/>
        </w:rPr>
        <w:t>,</w:t>
      </w:r>
      <w:r w:rsidRPr="00C55940">
        <w:rPr>
          <w:rFonts w:ascii="Times New Roman" w:hAnsi="Times New Roman" w:cs="Times New Roman"/>
          <w:sz w:val="24"/>
          <w:szCs w:val="24"/>
        </w:rPr>
        <w:t xml:space="preserve"> i cili do t</w:t>
      </w:r>
      <w:r w:rsidR="004900F6" w:rsidRPr="00C55940">
        <w:rPr>
          <w:rFonts w:ascii="Times New Roman" w:hAnsi="Times New Roman" w:cs="Times New Roman"/>
          <w:sz w:val="24"/>
          <w:szCs w:val="24"/>
        </w:rPr>
        <w:t>’</w:t>
      </w:r>
      <w:r w:rsidRPr="00C55940">
        <w:rPr>
          <w:rFonts w:ascii="Times New Roman" w:hAnsi="Times New Roman" w:cs="Times New Roman"/>
          <w:sz w:val="24"/>
          <w:szCs w:val="24"/>
        </w:rPr>
        <w:t>i trajtoj shpenzimet e dokumentuara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cilat rrjedhin nga Vlerësimet dhe Rivlerësimet Doganore.</w:t>
      </w:r>
    </w:p>
    <w:p w:rsidR="00CB1EC7" w:rsidRPr="00C55940" w:rsidRDefault="00CB1EC7" w:rsidP="008D67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B1EC7" w:rsidRPr="00C55940" w:rsidRDefault="00DC771C" w:rsidP="008D672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>Neni 26</w:t>
      </w:r>
      <w:r w:rsidR="006D464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Humbja tatimore</w:t>
      </w:r>
      <w:r w:rsidRPr="00C55940">
        <w:rPr>
          <w:rFonts w:ascii="Times New Roman" w:hAnsi="Times New Roman" w:cs="Times New Roman"/>
          <w:sz w:val="24"/>
          <w:szCs w:val="24"/>
        </w:rPr>
        <w:t>, paragrafi 2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ndryshohet dhe bartja e humbjes </w:t>
      </w:r>
      <w:r w:rsidR="00013A7B" w:rsidRPr="00C55940">
        <w:rPr>
          <w:rFonts w:ascii="Times New Roman" w:hAnsi="Times New Roman" w:cs="Times New Roman"/>
          <w:sz w:val="24"/>
          <w:szCs w:val="24"/>
        </w:rPr>
        <w:t>tatimore mund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013A7B" w:rsidRPr="00C55940">
        <w:rPr>
          <w:rFonts w:ascii="Times New Roman" w:hAnsi="Times New Roman" w:cs="Times New Roman"/>
          <w:sz w:val="24"/>
          <w:szCs w:val="24"/>
        </w:rPr>
        <w:t xml:space="preserve"> behet vetëm për 4 vite.</w:t>
      </w:r>
    </w:p>
    <w:p w:rsidR="00D57DF9" w:rsidRPr="00C55940" w:rsidRDefault="00D57DF9" w:rsidP="008D67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57DF9" w:rsidRPr="00C55940" w:rsidRDefault="00F70448" w:rsidP="008D672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>Neni 33</w:t>
      </w:r>
      <w:r w:rsidR="006D464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4900F6"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K</w:t>
      </w:r>
      <w:r w:rsidR="00207555" w:rsidRPr="00C951F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="004900F6" w:rsidRPr="00C951F7">
        <w:rPr>
          <w:rFonts w:ascii="Times New Roman" w:hAnsi="Times New Roman" w:cs="Times New Roman"/>
          <w:b/>
          <w:sz w:val="24"/>
          <w:szCs w:val="24"/>
          <w:u w:val="single"/>
        </w:rPr>
        <w:t>rkesat p</w:t>
      </w:r>
      <w:r w:rsidR="00207555" w:rsidRPr="00C951F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="004900F6" w:rsidRPr="00C951F7">
        <w:rPr>
          <w:rFonts w:ascii="Times New Roman" w:hAnsi="Times New Roman" w:cs="Times New Roman"/>
          <w:b/>
          <w:sz w:val="24"/>
          <w:szCs w:val="24"/>
          <w:u w:val="single"/>
        </w:rPr>
        <w:t>r Libra dhe Regjistrime</w:t>
      </w:r>
      <w:r w:rsidRPr="00C55940">
        <w:rPr>
          <w:rFonts w:ascii="Times New Roman" w:hAnsi="Times New Roman" w:cs="Times New Roman"/>
          <w:b/>
          <w:sz w:val="24"/>
          <w:szCs w:val="24"/>
        </w:rPr>
        <w:t>,</w:t>
      </w:r>
      <w:r w:rsidRPr="00C55940">
        <w:rPr>
          <w:rFonts w:ascii="Times New Roman" w:hAnsi="Times New Roman" w:cs="Times New Roman"/>
          <w:sz w:val="24"/>
          <w:szCs w:val="24"/>
        </w:rPr>
        <w:t xml:space="preserve"> </w:t>
      </w:r>
      <w:r w:rsidR="00D24BFC" w:rsidRPr="00C55940">
        <w:rPr>
          <w:rFonts w:ascii="Times New Roman" w:hAnsi="Times New Roman" w:cs="Times New Roman"/>
          <w:sz w:val="24"/>
          <w:szCs w:val="24"/>
        </w:rPr>
        <w:t>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D24BFC" w:rsidRPr="00C55940">
        <w:rPr>
          <w:rFonts w:ascii="Times New Roman" w:hAnsi="Times New Roman" w:cs="Times New Roman"/>
          <w:sz w:val="24"/>
          <w:szCs w:val="24"/>
        </w:rPr>
        <w:t xml:space="preserve"> riformulohet me qellim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D24BFC" w:rsidRPr="00C55940">
        <w:rPr>
          <w:rFonts w:ascii="Times New Roman" w:hAnsi="Times New Roman" w:cs="Times New Roman"/>
          <w:sz w:val="24"/>
          <w:szCs w:val="24"/>
        </w:rPr>
        <w:t xml:space="preserve"> harmonizimit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D24BFC" w:rsidRPr="00C55940">
        <w:rPr>
          <w:rFonts w:ascii="Times New Roman" w:hAnsi="Times New Roman" w:cs="Times New Roman"/>
          <w:sz w:val="24"/>
          <w:szCs w:val="24"/>
        </w:rPr>
        <w:t xml:space="preserve"> limitit me pragun për Tatimin mbi Vlerën e Shtuar</w:t>
      </w:r>
      <w:r w:rsidRPr="00C55940">
        <w:rPr>
          <w:rFonts w:ascii="Times New Roman" w:hAnsi="Times New Roman" w:cs="Times New Roman"/>
          <w:sz w:val="24"/>
          <w:szCs w:val="24"/>
        </w:rPr>
        <w:t>.</w:t>
      </w:r>
    </w:p>
    <w:p w:rsidR="00F70448" w:rsidRPr="00C55940" w:rsidRDefault="00F70448" w:rsidP="008D67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70448" w:rsidRPr="00C55940" w:rsidRDefault="00F70448" w:rsidP="008D672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>Neni 34</w:t>
      </w:r>
      <w:r w:rsidR="006D464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4900F6"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K</w:t>
      </w:r>
      <w:r w:rsidR="00207555" w:rsidRPr="00C951F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="004900F6" w:rsidRPr="00C951F7">
        <w:rPr>
          <w:rFonts w:ascii="Times New Roman" w:hAnsi="Times New Roman" w:cs="Times New Roman"/>
          <w:b/>
          <w:sz w:val="24"/>
          <w:szCs w:val="24"/>
          <w:u w:val="single"/>
        </w:rPr>
        <w:t>rkesat p</w:t>
      </w:r>
      <w:r w:rsidR="00207555" w:rsidRPr="00C951F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="004900F6" w:rsidRPr="00C951F7">
        <w:rPr>
          <w:rFonts w:ascii="Times New Roman" w:hAnsi="Times New Roman" w:cs="Times New Roman"/>
          <w:b/>
          <w:sz w:val="24"/>
          <w:szCs w:val="24"/>
          <w:u w:val="single"/>
        </w:rPr>
        <w:t>r Libra dhe Regjistrime p</w:t>
      </w:r>
      <w:r w:rsidR="00207555" w:rsidRPr="00C951F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="004900F6" w:rsidRPr="00C951F7">
        <w:rPr>
          <w:rFonts w:ascii="Times New Roman" w:hAnsi="Times New Roman" w:cs="Times New Roman"/>
          <w:b/>
          <w:sz w:val="24"/>
          <w:szCs w:val="24"/>
          <w:u w:val="single"/>
        </w:rPr>
        <w:t>r Bizneset e Vogla Individuale</w:t>
      </w:r>
      <w:r w:rsidRPr="00C55940">
        <w:rPr>
          <w:rFonts w:ascii="Times New Roman" w:hAnsi="Times New Roman" w:cs="Times New Roman"/>
          <w:sz w:val="24"/>
          <w:szCs w:val="24"/>
        </w:rPr>
        <w:t xml:space="preserve">, </w:t>
      </w:r>
      <w:r w:rsidR="00D24BFC" w:rsidRPr="00C55940">
        <w:rPr>
          <w:rFonts w:ascii="Times New Roman" w:hAnsi="Times New Roman" w:cs="Times New Roman"/>
          <w:sz w:val="24"/>
          <w:szCs w:val="24"/>
        </w:rPr>
        <w:t>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D24BFC" w:rsidRPr="00C55940">
        <w:rPr>
          <w:rFonts w:ascii="Times New Roman" w:hAnsi="Times New Roman" w:cs="Times New Roman"/>
          <w:sz w:val="24"/>
          <w:szCs w:val="24"/>
        </w:rPr>
        <w:t xml:space="preserve"> riformulohet me qellim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D24BFC" w:rsidRPr="00C55940">
        <w:rPr>
          <w:rFonts w:ascii="Times New Roman" w:hAnsi="Times New Roman" w:cs="Times New Roman"/>
          <w:sz w:val="24"/>
          <w:szCs w:val="24"/>
        </w:rPr>
        <w:t xml:space="preserve"> harmonizimit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D24BFC" w:rsidRPr="00C55940">
        <w:rPr>
          <w:rFonts w:ascii="Times New Roman" w:hAnsi="Times New Roman" w:cs="Times New Roman"/>
          <w:sz w:val="24"/>
          <w:szCs w:val="24"/>
        </w:rPr>
        <w:t xml:space="preserve"> limitit me pragun për Tatimin mbi Vlerën e Shtuar</w:t>
      </w:r>
      <w:r w:rsidRPr="00C55940">
        <w:rPr>
          <w:rFonts w:ascii="Times New Roman" w:hAnsi="Times New Roman" w:cs="Times New Roman"/>
          <w:sz w:val="24"/>
          <w:szCs w:val="24"/>
        </w:rPr>
        <w:t>.</w:t>
      </w:r>
    </w:p>
    <w:p w:rsidR="004900F6" w:rsidRPr="00C55940" w:rsidRDefault="004900F6" w:rsidP="004900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448" w:rsidRPr="00C55940" w:rsidRDefault="00114913" w:rsidP="008D672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Neni 36</w:t>
      </w:r>
      <w:r w:rsidR="006D464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Shmangia e tatimeve t</w:t>
      </w:r>
      <w:r w:rsidR="00207555" w:rsidRPr="00C951F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dyfishta</w:t>
      </w:r>
      <w:r w:rsidRPr="00C55940">
        <w:rPr>
          <w:rFonts w:ascii="Times New Roman" w:hAnsi="Times New Roman" w:cs="Times New Roman"/>
          <w:sz w:val="24"/>
          <w:szCs w:val="24"/>
        </w:rPr>
        <w:t>,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paragrafin 1,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fshihet pjesa e fjalisë “nga aktivitetet ekonomike”.</w:t>
      </w:r>
    </w:p>
    <w:p w:rsidR="00AC4D7E" w:rsidRPr="00C55940" w:rsidRDefault="00AC4D7E" w:rsidP="008D67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D00B7" w:rsidRDefault="001B59CD" w:rsidP="00AD00B7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>Neni 37</w:t>
      </w:r>
      <w:r w:rsidR="006D464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4900F6"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Mbajtja n</w:t>
      </w:r>
      <w:r w:rsidR="00207555" w:rsidRPr="00C951F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="004900F6"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Burim e Tatimit n</w:t>
      </w:r>
      <w:r w:rsidR="00207555" w:rsidRPr="00C951F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="004900F6"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t</w:t>
      </w:r>
      <w:r w:rsidR="00207555" w:rsidRPr="00C951F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="004900F6"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Ardhura</w:t>
      </w:r>
      <w:r w:rsidR="00C951F7">
        <w:rPr>
          <w:rFonts w:ascii="Times New Roman" w:hAnsi="Times New Roman" w:cs="Times New Roman"/>
          <w:sz w:val="24"/>
          <w:szCs w:val="24"/>
        </w:rPr>
        <w:t>,</w:t>
      </w:r>
      <w:r w:rsidRPr="00C55940">
        <w:rPr>
          <w:rFonts w:ascii="Times New Roman" w:hAnsi="Times New Roman" w:cs="Times New Roman"/>
          <w:sz w:val="24"/>
          <w:szCs w:val="24"/>
        </w:rPr>
        <w:t xml:space="preserve"> </w:t>
      </w:r>
      <w:r w:rsidR="00C951F7">
        <w:rPr>
          <w:rFonts w:ascii="Times New Roman" w:hAnsi="Times New Roman" w:cs="Times New Roman"/>
          <w:sz w:val="24"/>
          <w:szCs w:val="24"/>
        </w:rPr>
        <w:t>t</w:t>
      </w:r>
      <w:r w:rsidRPr="00C55940">
        <w:rPr>
          <w:rFonts w:ascii="Times New Roman" w:hAnsi="Times New Roman" w:cs="Times New Roman"/>
          <w:sz w:val="24"/>
          <w:szCs w:val="24"/>
        </w:rPr>
        <w:t xml:space="preserve">ë shtohet paragraf i ri, si në vijim: “ Pagesat e fitoreve </w:t>
      </w:r>
      <w:r w:rsidR="004900F6" w:rsidRPr="00C55940">
        <w:rPr>
          <w:rFonts w:ascii="Times New Roman" w:hAnsi="Times New Roman" w:cs="Times New Roman"/>
          <w:sz w:val="24"/>
          <w:szCs w:val="24"/>
        </w:rPr>
        <w:t>t</w:t>
      </w:r>
      <w:r w:rsidRPr="00C55940">
        <w:rPr>
          <w:rFonts w:ascii="Times New Roman" w:hAnsi="Times New Roman" w:cs="Times New Roman"/>
          <w:sz w:val="24"/>
          <w:szCs w:val="24"/>
        </w:rPr>
        <w:t xml:space="preserve">ë </w:t>
      </w:r>
      <w:r w:rsidR="00AC4D7E" w:rsidRPr="00C55940">
        <w:rPr>
          <w:rFonts w:ascii="Times New Roman" w:hAnsi="Times New Roman" w:cs="Times New Roman"/>
          <w:sz w:val="24"/>
          <w:szCs w:val="24"/>
        </w:rPr>
        <w:t>lotarisë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dhe lojërave të fatit të bëra </w:t>
      </w:r>
      <w:r w:rsidR="00AC4D7E" w:rsidRPr="00C55940">
        <w:rPr>
          <w:rFonts w:ascii="Times New Roman" w:hAnsi="Times New Roman" w:cs="Times New Roman"/>
          <w:sz w:val="24"/>
          <w:szCs w:val="24"/>
        </w:rPr>
        <w:t>për</w:t>
      </w:r>
      <w:r w:rsidRPr="00C55940">
        <w:rPr>
          <w:rFonts w:ascii="Times New Roman" w:hAnsi="Times New Roman" w:cs="Times New Roman"/>
          <w:sz w:val="24"/>
          <w:szCs w:val="24"/>
        </w:rPr>
        <w:t xml:space="preserve"> persona fizik jo afarist”.</w:t>
      </w:r>
    </w:p>
    <w:p w:rsidR="00AD00B7" w:rsidRPr="00AD00B7" w:rsidRDefault="00AD00B7" w:rsidP="00AD00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196B" w:rsidRPr="00C55940" w:rsidRDefault="001B59CD" w:rsidP="008D672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>Neni 39</w:t>
      </w:r>
      <w:r w:rsidR="006D464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900F6" w:rsidRPr="00C951F7">
        <w:rPr>
          <w:rFonts w:ascii="Times New Roman" w:hAnsi="Times New Roman" w:cs="Times New Roman"/>
          <w:b/>
          <w:sz w:val="24"/>
          <w:szCs w:val="24"/>
          <w:u w:val="single"/>
        </w:rPr>
        <w:t>Tatimi i mbajtur n</w:t>
      </w:r>
      <w:r w:rsidR="00207555" w:rsidRPr="00C951F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="004900F6"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burim n</w:t>
      </w:r>
      <w:r w:rsidR="00207555" w:rsidRPr="00C951F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="004900F6"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Interes, n</w:t>
      </w:r>
      <w:r w:rsidR="00207555" w:rsidRPr="00C951F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="004900F6"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t</w:t>
      </w:r>
      <w:r w:rsidR="00207555" w:rsidRPr="00C951F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="004900F6"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Drejta pron</w:t>
      </w:r>
      <w:r w:rsidR="00207555" w:rsidRPr="00C951F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="004900F6" w:rsidRPr="00C951F7">
        <w:rPr>
          <w:rFonts w:ascii="Times New Roman" w:hAnsi="Times New Roman" w:cs="Times New Roman"/>
          <w:b/>
          <w:sz w:val="24"/>
          <w:szCs w:val="24"/>
          <w:u w:val="single"/>
        </w:rPr>
        <w:t>sore dhe n</w:t>
      </w:r>
      <w:r w:rsidR="00207555" w:rsidRPr="00C951F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="004900F6"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Qira</w:t>
      </w:r>
      <w:r w:rsidR="00C951F7">
        <w:rPr>
          <w:rFonts w:ascii="Times New Roman" w:hAnsi="Times New Roman" w:cs="Times New Roman"/>
          <w:sz w:val="24"/>
          <w:szCs w:val="24"/>
        </w:rPr>
        <w:t>,</w:t>
      </w:r>
      <w:r w:rsidR="004900F6" w:rsidRPr="00C55940">
        <w:rPr>
          <w:rFonts w:ascii="Times New Roman" w:hAnsi="Times New Roman" w:cs="Times New Roman"/>
          <w:sz w:val="24"/>
          <w:szCs w:val="24"/>
        </w:rPr>
        <w:t xml:space="preserve"> </w:t>
      </w:r>
      <w:r w:rsidR="00AC4D7E" w:rsidRPr="00C55940">
        <w:rPr>
          <w:rFonts w:ascii="Times New Roman" w:hAnsi="Times New Roman" w:cs="Times New Roman"/>
          <w:sz w:val="24"/>
          <w:szCs w:val="24"/>
        </w:rPr>
        <w:t>–</w:t>
      </w:r>
      <w:r w:rsidRPr="00C55940">
        <w:rPr>
          <w:rFonts w:ascii="Times New Roman" w:hAnsi="Times New Roman" w:cs="Times New Roman"/>
          <w:sz w:val="24"/>
          <w:szCs w:val="24"/>
        </w:rPr>
        <w:t xml:space="preserve"> </w:t>
      </w:r>
      <w:r w:rsidR="004900F6" w:rsidRPr="00C55940">
        <w:rPr>
          <w:rFonts w:ascii="Times New Roman" w:hAnsi="Times New Roman" w:cs="Times New Roman"/>
          <w:sz w:val="24"/>
          <w:szCs w:val="24"/>
        </w:rPr>
        <w:t>t</w:t>
      </w:r>
      <w:r w:rsidR="00AC4D7E" w:rsidRPr="00C55940">
        <w:rPr>
          <w:rFonts w:ascii="Times New Roman" w:hAnsi="Times New Roman" w:cs="Times New Roman"/>
          <w:sz w:val="24"/>
          <w:szCs w:val="24"/>
        </w:rPr>
        <w:t>ë riformulohet emërtimi i nenit, si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AC4D7E" w:rsidRPr="00C55940">
        <w:rPr>
          <w:rFonts w:ascii="Times New Roman" w:hAnsi="Times New Roman" w:cs="Times New Roman"/>
          <w:sz w:val="24"/>
          <w:szCs w:val="24"/>
        </w:rPr>
        <w:t xml:space="preserve"> vijim: “ Tatimi i mbajtur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AC4D7E" w:rsidRPr="00C55940">
        <w:rPr>
          <w:rFonts w:ascii="Times New Roman" w:hAnsi="Times New Roman" w:cs="Times New Roman"/>
          <w:sz w:val="24"/>
          <w:szCs w:val="24"/>
        </w:rPr>
        <w:t xml:space="preserve"> burim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AC4D7E" w:rsidRPr="00C55940">
        <w:rPr>
          <w:rFonts w:ascii="Times New Roman" w:hAnsi="Times New Roman" w:cs="Times New Roman"/>
          <w:sz w:val="24"/>
          <w:szCs w:val="24"/>
        </w:rPr>
        <w:t xml:space="preserve"> interes,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AC4D7E" w:rsidRPr="00C55940">
        <w:rPr>
          <w:rFonts w:ascii="Times New Roman" w:hAnsi="Times New Roman" w:cs="Times New Roman"/>
          <w:sz w:val="24"/>
          <w:szCs w:val="24"/>
        </w:rPr>
        <w:t xml:space="preserve"> drejta pronësore, në qira dhe në fitoret në lotari dhe lojëra të fatit”.</w:t>
      </w:r>
      <w:r w:rsidR="007E79F7" w:rsidRPr="00C55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9CD" w:rsidRPr="00C55940" w:rsidRDefault="006A50D5" w:rsidP="003A19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55940">
        <w:rPr>
          <w:rFonts w:ascii="Times New Roman" w:hAnsi="Times New Roman" w:cs="Times New Roman"/>
          <w:sz w:val="24"/>
          <w:szCs w:val="24"/>
        </w:rPr>
        <w:t>Po ashtu</w:t>
      </w:r>
      <w:r w:rsidR="003A196B" w:rsidRPr="00C55940">
        <w:rPr>
          <w:rFonts w:ascii="Times New Roman" w:hAnsi="Times New Roman" w:cs="Times New Roman"/>
          <w:sz w:val="24"/>
          <w:szCs w:val="24"/>
        </w:rPr>
        <w:t>,</w:t>
      </w:r>
      <w:r w:rsidRPr="00C55940">
        <w:rPr>
          <w:rFonts w:ascii="Times New Roman" w:hAnsi="Times New Roman" w:cs="Times New Roman"/>
          <w:sz w:val="24"/>
          <w:szCs w:val="24"/>
        </w:rPr>
        <w:t xml:space="preserve"> paragrafi 4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plotësohet me tekstin “përjashtim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rastet kur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ardhurat e qiradhënësit janë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liruara nga tatimi”.</w:t>
      </w:r>
    </w:p>
    <w:p w:rsidR="003A196B" w:rsidRPr="00C55940" w:rsidRDefault="003A196B" w:rsidP="003A196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55940">
        <w:rPr>
          <w:rFonts w:ascii="Times New Roman" w:hAnsi="Times New Roman" w:cs="Times New Roman"/>
          <w:sz w:val="24"/>
          <w:szCs w:val="24"/>
        </w:rPr>
        <w:t>Po ashtu, pas paragrafit 4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shtohet edhe nj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paragraf i ri, si ne vijim: “Secili person fizik afarist, ortakëri apo grupim i personave, i cili paguan p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>r fitoret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lotari apo lojëra te fatit, personave rezident dhe jo</w:t>
      </w:r>
      <w:r w:rsidR="0024552B" w:rsidRPr="00C55940">
        <w:rPr>
          <w:rFonts w:ascii="Times New Roman" w:hAnsi="Times New Roman" w:cs="Times New Roman"/>
          <w:sz w:val="24"/>
          <w:szCs w:val="24"/>
        </w:rPr>
        <w:t xml:space="preserve"> </w:t>
      </w:r>
      <w:r w:rsidRPr="00C55940">
        <w:rPr>
          <w:rFonts w:ascii="Times New Roman" w:hAnsi="Times New Roman" w:cs="Times New Roman"/>
          <w:sz w:val="24"/>
          <w:szCs w:val="24"/>
        </w:rPr>
        <w:t>rezident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>, mban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burim tatimin dhjet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940">
        <w:rPr>
          <w:rFonts w:ascii="Times New Roman" w:hAnsi="Times New Roman" w:cs="Times New Roman"/>
          <w:sz w:val="24"/>
          <w:szCs w:val="24"/>
        </w:rPr>
        <w:t>p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>rqind</w:t>
      </w:r>
      <w:proofErr w:type="spellEnd"/>
      <w:r w:rsidRPr="00C55940">
        <w:rPr>
          <w:rFonts w:ascii="Times New Roman" w:hAnsi="Times New Roman" w:cs="Times New Roman"/>
          <w:sz w:val="24"/>
          <w:szCs w:val="24"/>
        </w:rPr>
        <w:t xml:space="preserve"> (10%)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koh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>n e pages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>s apo kreditimit.</w:t>
      </w:r>
    </w:p>
    <w:p w:rsidR="00AC4D7E" w:rsidRPr="00C55940" w:rsidRDefault="00AC4D7E" w:rsidP="008D67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C4D7E" w:rsidRPr="00C55940" w:rsidRDefault="00D240CE" w:rsidP="008D672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>Neni 40</w:t>
      </w:r>
      <w:r w:rsidR="006D464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Mbajtja e tatimit n</w:t>
      </w:r>
      <w:r w:rsidR="00207555" w:rsidRPr="00C951F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burim për kategori t</w:t>
      </w:r>
      <w:r w:rsidR="00207555" w:rsidRPr="00C951F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veçanta</w:t>
      </w:r>
      <w:r w:rsidRPr="00C55940">
        <w:rPr>
          <w:rFonts w:ascii="Times New Roman" w:hAnsi="Times New Roman" w:cs="Times New Roman"/>
          <w:sz w:val="24"/>
          <w:szCs w:val="24"/>
        </w:rPr>
        <w:t>, paragrafi 1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riformulohet me qellim q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konkretizohet sakt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se për cilat veprimtari duhet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mbahet tatimi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burim.</w:t>
      </w:r>
    </w:p>
    <w:p w:rsidR="00D97025" w:rsidRPr="00C55940" w:rsidRDefault="00D97025" w:rsidP="008D67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97025" w:rsidRPr="00C55940" w:rsidRDefault="00D57EA9" w:rsidP="008D672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>Neni 42</w:t>
      </w:r>
      <w:r w:rsidR="006D464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Ortakëritë dhe grupimi i personave</w:t>
      </w:r>
      <w:r w:rsidRPr="00C55940">
        <w:rPr>
          <w:rFonts w:ascii="Times New Roman" w:hAnsi="Times New Roman" w:cs="Times New Roman"/>
          <w:sz w:val="24"/>
          <w:szCs w:val="24"/>
        </w:rPr>
        <w:t>,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riformulohet dhe me këtë nen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përfshihen edhe </w:t>
      </w:r>
      <w:proofErr w:type="spellStart"/>
      <w:r w:rsidRPr="00C55940">
        <w:rPr>
          <w:rFonts w:ascii="Times New Roman" w:hAnsi="Times New Roman" w:cs="Times New Roman"/>
          <w:sz w:val="24"/>
          <w:szCs w:val="24"/>
        </w:rPr>
        <w:t>Konzorciumet</w:t>
      </w:r>
      <w:proofErr w:type="spellEnd"/>
      <w:r w:rsidRPr="00C55940">
        <w:rPr>
          <w:rFonts w:ascii="Times New Roman" w:hAnsi="Times New Roman" w:cs="Times New Roman"/>
          <w:sz w:val="24"/>
          <w:szCs w:val="24"/>
        </w:rPr>
        <w:t xml:space="preserve"> e regjistruara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ATK vetëm për qëllime tatimore.</w:t>
      </w:r>
    </w:p>
    <w:p w:rsidR="005C2E0D" w:rsidRPr="00C55940" w:rsidRDefault="005C2E0D" w:rsidP="008D67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C2E0D" w:rsidRPr="00C55940" w:rsidRDefault="005C2E0D" w:rsidP="008D672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>Neni 43</w:t>
      </w:r>
      <w:r w:rsidR="006D464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Pagesa e tatimit p</w:t>
      </w:r>
      <w:r w:rsidR="00207555" w:rsidRPr="00C951F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>r veprimtaritë afariste</w:t>
      </w:r>
      <w:r w:rsidRPr="00C55940">
        <w:rPr>
          <w:rFonts w:ascii="Times New Roman" w:hAnsi="Times New Roman" w:cs="Times New Roman"/>
          <w:sz w:val="24"/>
          <w:szCs w:val="24"/>
        </w:rPr>
        <w:t xml:space="preserve">, </w:t>
      </w:r>
      <w:r w:rsidR="0037216D" w:rsidRPr="00C55940">
        <w:rPr>
          <w:rFonts w:ascii="Times New Roman" w:hAnsi="Times New Roman" w:cs="Times New Roman"/>
          <w:sz w:val="24"/>
          <w:szCs w:val="24"/>
        </w:rPr>
        <w:t>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37216D" w:rsidRPr="00C55940">
        <w:rPr>
          <w:rFonts w:ascii="Times New Roman" w:hAnsi="Times New Roman" w:cs="Times New Roman"/>
          <w:sz w:val="24"/>
          <w:szCs w:val="24"/>
        </w:rPr>
        <w:t xml:space="preserve"> riformulohet me qellim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37216D" w:rsidRPr="00C55940">
        <w:rPr>
          <w:rFonts w:ascii="Times New Roman" w:hAnsi="Times New Roman" w:cs="Times New Roman"/>
          <w:sz w:val="24"/>
          <w:szCs w:val="24"/>
        </w:rPr>
        <w:t xml:space="preserve"> harmonizimit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37216D" w:rsidRPr="00C55940">
        <w:rPr>
          <w:rFonts w:ascii="Times New Roman" w:hAnsi="Times New Roman" w:cs="Times New Roman"/>
          <w:sz w:val="24"/>
          <w:szCs w:val="24"/>
        </w:rPr>
        <w:t xml:space="preserve"> limitit me pragun për Tatimin mbi Vlerën e Shtuar. Po ashtu, </w:t>
      </w:r>
      <w:r w:rsidRPr="00C55940">
        <w:rPr>
          <w:rFonts w:ascii="Times New Roman" w:hAnsi="Times New Roman" w:cs="Times New Roman"/>
          <w:sz w:val="24"/>
          <w:szCs w:val="24"/>
        </w:rPr>
        <w:t>paragrafi 6,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>n-paragrafi 6.2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riformulohet duke mundësuar q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parapagimi i tatimit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këtë mundësi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bartjen për shlyerjen e detyrimeve tatimore si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pagesa paradhënie apo edhe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cilindo lloj tatimi dhe kontribut </w:t>
      </w:r>
      <w:proofErr w:type="spellStart"/>
      <w:r w:rsidRPr="00C55940">
        <w:rPr>
          <w:rFonts w:ascii="Times New Roman" w:hAnsi="Times New Roman" w:cs="Times New Roman"/>
          <w:sz w:val="24"/>
          <w:szCs w:val="24"/>
        </w:rPr>
        <w:t>pensional</w:t>
      </w:r>
      <w:proofErr w:type="spellEnd"/>
      <w:r w:rsidRPr="00C55940">
        <w:rPr>
          <w:rFonts w:ascii="Times New Roman" w:hAnsi="Times New Roman" w:cs="Times New Roman"/>
          <w:sz w:val="24"/>
          <w:szCs w:val="24"/>
        </w:rPr>
        <w:t>.</w:t>
      </w:r>
    </w:p>
    <w:p w:rsidR="00D24BFC" w:rsidRPr="00C55940" w:rsidRDefault="00D24BFC" w:rsidP="00D24B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4BFC" w:rsidRDefault="00D24BFC" w:rsidP="00D24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0B7" w:rsidRDefault="00AD00B7" w:rsidP="00D24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FFC" w:rsidRDefault="00BE7FFC" w:rsidP="00D24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FFC" w:rsidRDefault="00BE7FFC" w:rsidP="00D24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FFC" w:rsidRDefault="00BE7FFC" w:rsidP="00D24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FFC" w:rsidRDefault="00BE7FFC" w:rsidP="00D24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FFC" w:rsidRDefault="00BE7FFC" w:rsidP="00D24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FFC" w:rsidRDefault="00BE7FFC" w:rsidP="00D24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FFC" w:rsidRDefault="00BE7FFC" w:rsidP="00D24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FFC" w:rsidRPr="00C55940" w:rsidRDefault="00BE7FFC" w:rsidP="00D24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BFC" w:rsidRPr="001A1D5B" w:rsidRDefault="00D24BFC" w:rsidP="006C2CC8">
      <w:pPr>
        <w:pStyle w:val="Heading2"/>
        <w:shd w:val="clear" w:color="auto" w:fill="FFFF99"/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</w:pPr>
      <w:bookmarkStart w:id="10" w:name="_Toc504390431"/>
      <w:r w:rsidRPr="001A1D5B"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  <w:t>Ligji për Tatimin n</w:t>
      </w:r>
      <w:r w:rsidR="00207555" w:rsidRPr="001A1D5B"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  <w:t>ë</w:t>
      </w:r>
      <w:r w:rsidRPr="001A1D5B"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  <w:t xml:space="preserve"> t</w:t>
      </w:r>
      <w:r w:rsidR="00207555" w:rsidRPr="001A1D5B"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  <w:t>ë</w:t>
      </w:r>
      <w:r w:rsidRPr="001A1D5B"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  <w:t xml:space="preserve"> Ardhurat e Korporatave:</w:t>
      </w:r>
      <w:bookmarkEnd w:id="10"/>
    </w:p>
    <w:p w:rsidR="00D24BFC" w:rsidRPr="00C55940" w:rsidRDefault="00D24BFC" w:rsidP="00D24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6A5" w:rsidRPr="00C55940" w:rsidRDefault="00D73025" w:rsidP="008D672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>Neni 5</w:t>
      </w:r>
      <w:r w:rsidR="006D464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4BFC" w:rsidRPr="00C951F7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207555" w:rsidRPr="00C951F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ardhurat e tatueshme</w:t>
      </w:r>
      <w:r w:rsidRPr="00C55940">
        <w:rPr>
          <w:rFonts w:ascii="Times New Roman" w:hAnsi="Times New Roman" w:cs="Times New Roman"/>
          <w:sz w:val="24"/>
          <w:szCs w:val="24"/>
        </w:rPr>
        <w:t>, riformulim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përmbajtje </w:t>
      </w:r>
      <w:r w:rsidR="007F1F57" w:rsidRPr="00C55940">
        <w:rPr>
          <w:rFonts w:ascii="Times New Roman" w:hAnsi="Times New Roman" w:cs="Times New Roman"/>
          <w:sz w:val="24"/>
          <w:szCs w:val="24"/>
        </w:rPr>
        <w:t xml:space="preserve">duke </w:t>
      </w:r>
      <w:r w:rsidR="00871E82" w:rsidRPr="00C55940">
        <w:rPr>
          <w:rFonts w:ascii="Times New Roman" w:hAnsi="Times New Roman" w:cs="Times New Roman"/>
          <w:sz w:val="24"/>
          <w:szCs w:val="24"/>
        </w:rPr>
        <w:t>përfshirë</w:t>
      </w:r>
      <w:r w:rsidR="007F1F57" w:rsidRPr="00C55940">
        <w:rPr>
          <w:rFonts w:ascii="Times New Roman" w:hAnsi="Times New Roman" w:cs="Times New Roman"/>
          <w:sz w:val="24"/>
          <w:szCs w:val="24"/>
        </w:rPr>
        <w:t xml:space="preserve"> edhe Korporatat e Vogla, si </w:t>
      </w:r>
      <w:r w:rsidR="00D24BFC" w:rsidRPr="00C55940">
        <w:rPr>
          <w:rFonts w:ascii="Times New Roman" w:hAnsi="Times New Roman" w:cs="Times New Roman"/>
          <w:sz w:val="24"/>
          <w:szCs w:val="24"/>
        </w:rPr>
        <w:t>dhe korrigjime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gabimeve teknike.</w:t>
      </w:r>
    </w:p>
    <w:p w:rsidR="00D73025" w:rsidRDefault="00D73025" w:rsidP="008D67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55940">
        <w:rPr>
          <w:rFonts w:ascii="Times New Roman" w:hAnsi="Times New Roman" w:cs="Times New Roman"/>
          <w:sz w:val="24"/>
          <w:szCs w:val="24"/>
        </w:rPr>
        <w:t>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shtohet paragraf i ri –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ardhurat nga interesi, me qellim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trajtimit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përputhje sikurse edhe me Ligjin për TAP (nenin 13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TAP).</w:t>
      </w:r>
    </w:p>
    <w:p w:rsidR="00C951F7" w:rsidRPr="00C55940" w:rsidRDefault="00C951F7" w:rsidP="008D67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73025" w:rsidRPr="00C55940" w:rsidRDefault="00D73025" w:rsidP="008D672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>Neni 6, Shkallet e tatimit</w:t>
      </w:r>
      <w:r w:rsidRPr="00C55940">
        <w:rPr>
          <w:rFonts w:ascii="Times New Roman" w:hAnsi="Times New Roman" w:cs="Times New Roman"/>
          <w:sz w:val="24"/>
          <w:szCs w:val="24"/>
        </w:rPr>
        <w:t>,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fshihet paragrafi 2 dhe Kompanitë e Sigurimit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D24BFC" w:rsidRPr="00C55940">
        <w:rPr>
          <w:rFonts w:ascii="Times New Roman" w:hAnsi="Times New Roman" w:cs="Times New Roman"/>
          <w:sz w:val="24"/>
          <w:szCs w:val="24"/>
        </w:rPr>
        <w:t xml:space="preserve"> trajtohen sikurse </w:t>
      </w:r>
      <w:r w:rsidRPr="00C55940">
        <w:rPr>
          <w:rFonts w:ascii="Times New Roman" w:hAnsi="Times New Roman" w:cs="Times New Roman"/>
          <w:sz w:val="24"/>
          <w:szCs w:val="24"/>
        </w:rPr>
        <w:t>çdo person tjetër juridik.</w:t>
      </w:r>
    </w:p>
    <w:p w:rsidR="00D24BFC" w:rsidRPr="00C55940" w:rsidRDefault="00D24BFC" w:rsidP="00D24BF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F791E" w:rsidRPr="00C55940" w:rsidRDefault="00BF791E" w:rsidP="008D672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>Neni 7</w:t>
      </w:r>
      <w:r w:rsidR="006D464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4BFC" w:rsidRPr="00C951F7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207555" w:rsidRPr="00C951F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ardhurat e liruara</w:t>
      </w:r>
      <w:r w:rsidRPr="00C55940">
        <w:rPr>
          <w:rFonts w:ascii="Times New Roman" w:hAnsi="Times New Roman" w:cs="Times New Roman"/>
          <w:sz w:val="24"/>
          <w:szCs w:val="24"/>
        </w:rPr>
        <w:t>,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fshihet paragrafi 2 - </w:t>
      </w:r>
      <w:proofErr w:type="spellStart"/>
      <w:r w:rsidRPr="00C55940">
        <w:rPr>
          <w:rFonts w:ascii="Times New Roman" w:hAnsi="Times New Roman" w:cs="Times New Roman"/>
          <w:sz w:val="24"/>
          <w:szCs w:val="24"/>
        </w:rPr>
        <w:t>dividenta</w:t>
      </w:r>
      <w:proofErr w:type="spellEnd"/>
      <w:r w:rsidRPr="00C55940">
        <w:rPr>
          <w:rFonts w:ascii="Times New Roman" w:hAnsi="Times New Roman" w:cs="Times New Roman"/>
          <w:sz w:val="24"/>
          <w:szCs w:val="24"/>
        </w:rPr>
        <w:t xml:space="preserve"> e pranuar nga personi rezident dhe jo-rezident, sipas rekomandimeve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</w:t>
      </w:r>
      <w:r w:rsidR="006F74DB" w:rsidRPr="00C55940">
        <w:rPr>
          <w:rFonts w:ascii="Times New Roman" w:hAnsi="Times New Roman" w:cs="Times New Roman"/>
          <w:sz w:val="24"/>
          <w:szCs w:val="24"/>
        </w:rPr>
        <w:t>Asistencës</w:t>
      </w:r>
      <w:r w:rsidRPr="00C55940">
        <w:rPr>
          <w:rFonts w:ascii="Times New Roman" w:hAnsi="Times New Roman" w:cs="Times New Roman"/>
          <w:sz w:val="24"/>
          <w:szCs w:val="24"/>
        </w:rPr>
        <w:t xml:space="preserve"> teknike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Bashkimit Evropian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Kosov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>.</w:t>
      </w:r>
    </w:p>
    <w:p w:rsidR="00D73025" w:rsidRPr="00C55940" w:rsidRDefault="006F74DB" w:rsidP="008D67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55940">
        <w:rPr>
          <w:rFonts w:ascii="Times New Roman" w:hAnsi="Times New Roman" w:cs="Times New Roman"/>
          <w:sz w:val="24"/>
          <w:szCs w:val="24"/>
        </w:rPr>
        <w:t xml:space="preserve">Po ashtu, </w:t>
      </w:r>
      <w:r w:rsidR="00D73025" w:rsidRPr="00C55940">
        <w:rPr>
          <w:rFonts w:ascii="Times New Roman" w:hAnsi="Times New Roman" w:cs="Times New Roman"/>
          <w:sz w:val="24"/>
          <w:szCs w:val="24"/>
        </w:rPr>
        <w:t>Neni 7 –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D73025" w:rsidRPr="00C55940">
        <w:rPr>
          <w:rFonts w:ascii="Times New Roman" w:hAnsi="Times New Roman" w:cs="Times New Roman"/>
          <w:sz w:val="24"/>
          <w:szCs w:val="24"/>
        </w:rPr>
        <w:t xml:space="preserve"> ardhurat e liruara, paragrafi 4</w:t>
      </w:r>
      <w:r w:rsidR="00D24BFC" w:rsidRPr="00C55940">
        <w:rPr>
          <w:rFonts w:ascii="Times New Roman" w:hAnsi="Times New Roman" w:cs="Times New Roman"/>
          <w:sz w:val="24"/>
          <w:szCs w:val="24"/>
        </w:rPr>
        <w:t xml:space="preserve">, </w:t>
      </w:r>
      <w:r w:rsidR="00D73025" w:rsidRPr="00C55940">
        <w:rPr>
          <w:rFonts w:ascii="Times New Roman" w:hAnsi="Times New Roman" w:cs="Times New Roman"/>
          <w:sz w:val="24"/>
          <w:szCs w:val="24"/>
        </w:rPr>
        <w:t>Pushimet tatimore dhe lehtësirat për bizneset e reja,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D73025" w:rsidRPr="00C55940">
        <w:rPr>
          <w:rFonts w:ascii="Times New Roman" w:hAnsi="Times New Roman" w:cs="Times New Roman"/>
          <w:sz w:val="24"/>
          <w:szCs w:val="24"/>
        </w:rPr>
        <w:t xml:space="preserve"> riformulohet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D73025" w:rsidRPr="00C55940">
        <w:rPr>
          <w:rFonts w:ascii="Times New Roman" w:hAnsi="Times New Roman" w:cs="Times New Roman"/>
          <w:sz w:val="24"/>
          <w:szCs w:val="24"/>
        </w:rPr>
        <w:t xml:space="preserve"> përmbajtjen q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D73025" w:rsidRPr="00C55940">
        <w:rPr>
          <w:rFonts w:ascii="Times New Roman" w:hAnsi="Times New Roman" w:cs="Times New Roman"/>
          <w:sz w:val="24"/>
          <w:szCs w:val="24"/>
        </w:rPr>
        <w:t xml:space="preserve">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D73025" w:rsidRPr="00C55940">
        <w:rPr>
          <w:rFonts w:ascii="Times New Roman" w:hAnsi="Times New Roman" w:cs="Times New Roman"/>
          <w:sz w:val="24"/>
          <w:szCs w:val="24"/>
        </w:rPr>
        <w:t xml:space="preserve"> ofrohen vetëm lehtësira për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D73025" w:rsidRPr="00C55940">
        <w:rPr>
          <w:rFonts w:ascii="Times New Roman" w:hAnsi="Times New Roman" w:cs="Times New Roman"/>
          <w:sz w:val="24"/>
          <w:szCs w:val="24"/>
        </w:rPr>
        <w:t xml:space="preserve"> gjitha bizneset,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D73025" w:rsidRPr="00C55940">
        <w:rPr>
          <w:rFonts w:ascii="Times New Roman" w:hAnsi="Times New Roman" w:cs="Times New Roman"/>
          <w:sz w:val="24"/>
          <w:szCs w:val="24"/>
        </w:rPr>
        <w:t xml:space="preserve"> cilat plotësojnë kriteret e përcaktuara me akt nënligjor.</w:t>
      </w:r>
    </w:p>
    <w:p w:rsidR="00D73025" w:rsidRPr="00C55940" w:rsidRDefault="00D73025" w:rsidP="008D67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772AF" w:rsidRPr="00C55940" w:rsidRDefault="00A772AF" w:rsidP="008D672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>Neni 9</w:t>
      </w:r>
      <w:r w:rsidR="006D464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Shpenzimet e lejueshme</w:t>
      </w:r>
      <w:r w:rsidR="00D24BFC" w:rsidRPr="00C55940">
        <w:rPr>
          <w:rFonts w:ascii="Times New Roman" w:hAnsi="Times New Roman" w:cs="Times New Roman"/>
          <w:sz w:val="24"/>
          <w:szCs w:val="24"/>
        </w:rPr>
        <w:t xml:space="preserve">, </w:t>
      </w:r>
      <w:r w:rsidRPr="00C55940">
        <w:rPr>
          <w:rFonts w:ascii="Times New Roman" w:hAnsi="Times New Roman" w:cs="Times New Roman"/>
          <w:sz w:val="24"/>
          <w:szCs w:val="24"/>
        </w:rPr>
        <w:t>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shtohet paragraf i ri i cili do t</w:t>
      </w:r>
      <w:r w:rsidR="00D24BFC" w:rsidRPr="00C55940">
        <w:rPr>
          <w:rFonts w:ascii="Times New Roman" w:hAnsi="Times New Roman" w:cs="Times New Roman"/>
          <w:sz w:val="24"/>
          <w:szCs w:val="24"/>
        </w:rPr>
        <w:t>’</w:t>
      </w:r>
      <w:r w:rsidRPr="00C55940">
        <w:rPr>
          <w:rFonts w:ascii="Times New Roman" w:hAnsi="Times New Roman" w:cs="Times New Roman"/>
          <w:sz w:val="24"/>
          <w:szCs w:val="24"/>
        </w:rPr>
        <w:t>i trajtoj shpenzimet e dokumentuara</w:t>
      </w:r>
      <w:r w:rsidR="00D24BFC" w:rsidRPr="00C55940">
        <w:rPr>
          <w:rFonts w:ascii="Times New Roman" w:hAnsi="Times New Roman" w:cs="Times New Roman"/>
          <w:sz w:val="24"/>
          <w:szCs w:val="24"/>
        </w:rPr>
        <w:t>,</w:t>
      </w:r>
      <w:r w:rsidRPr="00C55940">
        <w:rPr>
          <w:rFonts w:ascii="Times New Roman" w:hAnsi="Times New Roman" w:cs="Times New Roman"/>
          <w:sz w:val="24"/>
          <w:szCs w:val="24"/>
        </w:rPr>
        <w:t xml:space="preserve">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cilat rrjedhin nga Vlerësimet dhe Rivlerësimet Doganore.</w:t>
      </w:r>
    </w:p>
    <w:p w:rsidR="002A6D34" w:rsidRPr="00C55940" w:rsidRDefault="002A6D34" w:rsidP="008D67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A6D34" w:rsidRPr="00C55940" w:rsidRDefault="002A6D34" w:rsidP="008D672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>Neni 23</w:t>
      </w:r>
      <w:r w:rsidR="006D464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Humbja tatimore</w:t>
      </w:r>
      <w:r w:rsidRPr="00C55940">
        <w:rPr>
          <w:rFonts w:ascii="Times New Roman" w:hAnsi="Times New Roman" w:cs="Times New Roman"/>
          <w:sz w:val="24"/>
          <w:szCs w:val="24"/>
        </w:rPr>
        <w:t>, paragrafi 2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ndryshohet dhe bartja e humbjes tatimore mund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behet vetëm për 4 vite.</w:t>
      </w:r>
    </w:p>
    <w:p w:rsidR="00FE3A70" w:rsidRPr="00C55940" w:rsidRDefault="00FE3A70" w:rsidP="008D67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E3A70" w:rsidRPr="00C55940" w:rsidRDefault="00FE3A70" w:rsidP="008D672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>Neni 29</w:t>
      </w:r>
      <w:r w:rsidR="006D464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D398A" w:rsidRPr="00C951F7">
        <w:rPr>
          <w:rFonts w:ascii="Times New Roman" w:hAnsi="Times New Roman" w:cs="Times New Roman"/>
          <w:b/>
          <w:sz w:val="24"/>
          <w:szCs w:val="24"/>
          <w:u w:val="single"/>
        </w:rPr>
        <w:t>Njësia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e </w:t>
      </w:r>
      <w:r w:rsidR="00BD398A" w:rsidRPr="00C951F7">
        <w:rPr>
          <w:rFonts w:ascii="Times New Roman" w:hAnsi="Times New Roman" w:cs="Times New Roman"/>
          <w:b/>
          <w:sz w:val="24"/>
          <w:szCs w:val="24"/>
          <w:u w:val="single"/>
        </w:rPr>
        <w:t>Përhershme</w:t>
      </w:r>
      <w:r w:rsidRPr="00C55940">
        <w:rPr>
          <w:rFonts w:ascii="Times New Roman" w:hAnsi="Times New Roman" w:cs="Times New Roman"/>
          <w:sz w:val="24"/>
          <w:szCs w:val="24"/>
        </w:rPr>
        <w:t>,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riformulohet duke </w:t>
      </w:r>
      <w:r w:rsidR="00D24BFC" w:rsidRPr="00C55940">
        <w:rPr>
          <w:rFonts w:ascii="Times New Roman" w:hAnsi="Times New Roman" w:cs="Times New Roman"/>
          <w:sz w:val="24"/>
          <w:szCs w:val="24"/>
        </w:rPr>
        <w:t xml:space="preserve">e </w:t>
      </w:r>
      <w:r w:rsidRPr="00C55940">
        <w:rPr>
          <w:rFonts w:ascii="Times New Roman" w:hAnsi="Times New Roman" w:cs="Times New Roman"/>
          <w:sz w:val="24"/>
          <w:szCs w:val="24"/>
        </w:rPr>
        <w:t>harmonizuar me Modelin e OECD.</w:t>
      </w:r>
    </w:p>
    <w:p w:rsidR="002A6D34" w:rsidRPr="00C55940" w:rsidRDefault="002A6D34" w:rsidP="008D67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746C6" w:rsidRPr="00C55940" w:rsidRDefault="00C746C6" w:rsidP="008D672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>Neni 30</w:t>
      </w:r>
      <w:r w:rsidR="006D464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Mbajtja e tatimit n</w:t>
      </w:r>
      <w:r w:rsidR="00C951F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burim n</w:t>
      </w:r>
      <w:r w:rsidR="00C951F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t</w:t>
      </w:r>
      <w:r w:rsidR="00C951F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ardhura</w:t>
      </w:r>
      <w:r w:rsidRPr="00C55940">
        <w:rPr>
          <w:rFonts w:ascii="Times New Roman" w:hAnsi="Times New Roman" w:cs="Times New Roman"/>
          <w:sz w:val="24"/>
          <w:szCs w:val="24"/>
        </w:rPr>
        <w:t>,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shtohet edhe nj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D24BFC" w:rsidRPr="00C55940">
        <w:rPr>
          <w:rFonts w:ascii="Times New Roman" w:hAnsi="Times New Roman" w:cs="Times New Roman"/>
          <w:sz w:val="24"/>
          <w:szCs w:val="24"/>
        </w:rPr>
        <w:t xml:space="preserve"> paragraf i ri</w:t>
      </w:r>
      <w:r w:rsidRPr="00C55940">
        <w:rPr>
          <w:rFonts w:ascii="Times New Roman" w:hAnsi="Times New Roman" w:cs="Times New Roman"/>
          <w:sz w:val="24"/>
          <w:szCs w:val="24"/>
        </w:rPr>
        <w:t>, si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vijim: “Secili tatimpagues, i cili paguan për fitoret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lotari apo lojëra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fatit, personave rezident apo jo-rezident</w:t>
      </w:r>
      <w:r w:rsidR="00D24BFC" w:rsidRPr="00C55940">
        <w:rPr>
          <w:rFonts w:ascii="Times New Roman" w:hAnsi="Times New Roman" w:cs="Times New Roman"/>
          <w:sz w:val="24"/>
          <w:szCs w:val="24"/>
        </w:rPr>
        <w:t>. P</w:t>
      </w:r>
      <w:r w:rsidRPr="00C55940">
        <w:rPr>
          <w:rFonts w:ascii="Times New Roman" w:hAnsi="Times New Roman" w:cs="Times New Roman"/>
          <w:sz w:val="24"/>
          <w:szCs w:val="24"/>
        </w:rPr>
        <w:t>o ashtu paragrafi 3 i këtij neni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plotësohet me tekstin “përjashtim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rastet kur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ardhurat e qiradhënësit janë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liruara nga tatimi”.</w:t>
      </w:r>
    </w:p>
    <w:p w:rsidR="001A1978" w:rsidRPr="00C55940" w:rsidRDefault="001A1978" w:rsidP="008D67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55940">
        <w:rPr>
          <w:rFonts w:ascii="Times New Roman" w:hAnsi="Times New Roman" w:cs="Times New Roman"/>
          <w:sz w:val="24"/>
          <w:szCs w:val="24"/>
        </w:rPr>
        <w:t>Po ashtu, paragrafi 4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riformulohet me qellim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zgjerimit sikurse janë huazimet apo çdo interes nga institucionet financiare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licencuara nga BQK.</w:t>
      </w:r>
    </w:p>
    <w:p w:rsidR="00D73025" w:rsidRPr="00C55940" w:rsidRDefault="00D73025" w:rsidP="008D67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746C6" w:rsidRPr="00C55940" w:rsidRDefault="00570E92" w:rsidP="008D672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5940">
        <w:rPr>
          <w:rFonts w:ascii="Times New Roman" w:hAnsi="Times New Roman" w:cs="Times New Roman"/>
          <w:sz w:val="24"/>
          <w:szCs w:val="24"/>
        </w:rPr>
        <w:t xml:space="preserve"> </w:t>
      </w:r>
      <w:r w:rsidR="00C746C6" w:rsidRPr="00C951F7">
        <w:rPr>
          <w:rFonts w:ascii="Times New Roman" w:hAnsi="Times New Roman" w:cs="Times New Roman"/>
          <w:b/>
          <w:sz w:val="24"/>
          <w:szCs w:val="24"/>
          <w:u w:val="single"/>
        </w:rPr>
        <w:t>Neni 31</w:t>
      </w:r>
      <w:r w:rsidR="006D464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C746C6"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Mbajtja e tatimit n</w:t>
      </w:r>
      <w:r w:rsidR="00C951F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="00C746C6"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burim për kategori t</w:t>
      </w:r>
      <w:r w:rsidR="00207555" w:rsidRPr="00C951F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="00C746C6"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veçanta</w:t>
      </w:r>
      <w:r w:rsidR="00C746C6" w:rsidRPr="00C55940">
        <w:rPr>
          <w:rFonts w:ascii="Times New Roman" w:hAnsi="Times New Roman" w:cs="Times New Roman"/>
          <w:sz w:val="24"/>
          <w:szCs w:val="24"/>
        </w:rPr>
        <w:t>, paragrafi 1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C746C6" w:rsidRPr="00C55940">
        <w:rPr>
          <w:rFonts w:ascii="Times New Roman" w:hAnsi="Times New Roman" w:cs="Times New Roman"/>
          <w:sz w:val="24"/>
          <w:szCs w:val="24"/>
        </w:rPr>
        <w:t xml:space="preserve"> riformulohet me qellim q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C746C6" w:rsidRPr="00C55940">
        <w:rPr>
          <w:rFonts w:ascii="Times New Roman" w:hAnsi="Times New Roman" w:cs="Times New Roman"/>
          <w:sz w:val="24"/>
          <w:szCs w:val="24"/>
        </w:rPr>
        <w:t xml:space="preserve">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C746C6" w:rsidRPr="00C55940">
        <w:rPr>
          <w:rFonts w:ascii="Times New Roman" w:hAnsi="Times New Roman" w:cs="Times New Roman"/>
          <w:sz w:val="24"/>
          <w:szCs w:val="24"/>
        </w:rPr>
        <w:t xml:space="preserve"> konkretizohet sakt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C746C6" w:rsidRPr="00C55940">
        <w:rPr>
          <w:rFonts w:ascii="Times New Roman" w:hAnsi="Times New Roman" w:cs="Times New Roman"/>
          <w:sz w:val="24"/>
          <w:szCs w:val="24"/>
        </w:rPr>
        <w:t xml:space="preserve"> se për cilat veprimtari duhet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C746C6" w:rsidRPr="00C55940">
        <w:rPr>
          <w:rFonts w:ascii="Times New Roman" w:hAnsi="Times New Roman" w:cs="Times New Roman"/>
          <w:sz w:val="24"/>
          <w:szCs w:val="24"/>
        </w:rPr>
        <w:t xml:space="preserve"> mbahet tatimi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C746C6" w:rsidRPr="00C55940">
        <w:rPr>
          <w:rFonts w:ascii="Times New Roman" w:hAnsi="Times New Roman" w:cs="Times New Roman"/>
          <w:sz w:val="24"/>
          <w:szCs w:val="24"/>
        </w:rPr>
        <w:t xml:space="preserve"> burim.</w:t>
      </w:r>
    </w:p>
    <w:p w:rsidR="001D6CED" w:rsidRPr="00C55940" w:rsidRDefault="001D6CED" w:rsidP="008D67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746C6" w:rsidRPr="00C55940" w:rsidRDefault="001A1978" w:rsidP="008D672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>Neni 33</w:t>
      </w:r>
      <w:r w:rsidR="006D464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Trajtimi i aktiviteteve t</w:t>
      </w:r>
      <w:r w:rsidR="00207555" w:rsidRPr="00C951F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sigurimit</w:t>
      </w:r>
      <w:r w:rsidRPr="00C55940">
        <w:rPr>
          <w:rFonts w:ascii="Times New Roman" w:hAnsi="Times New Roman" w:cs="Times New Roman"/>
          <w:sz w:val="24"/>
          <w:szCs w:val="24"/>
        </w:rPr>
        <w:t>,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fshihet, nëse </w:t>
      </w:r>
      <w:r w:rsidR="00D24BFC" w:rsidRPr="00C55940">
        <w:rPr>
          <w:rFonts w:ascii="Times New Roman" w:hAnsi="Times New Roman" w:cs="Times New Roman"/>
          <w:sz w:val="24"/>
          <w:szCs w:val="24"/>
        </w:rPr>
        <w:t>fshihet paragrafi 2 i nenit 6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D24BFC" w:rsidRPr="00C55940">
        <w:rPr>
          <w:rFonts w:ascii="Times New Roman" w:hAnsi="Times New Roman" w:cs="Times New Roman"/>
          <w:sz w:val="24"/>
          <w:szCs w:val="24"/>
        </w:rPr>
        <w:t xml:space="preserve"> Ligjit p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="00D24BFC" w:rsidRPr="00C55940">
        <w:rPr>
          <w:rFonts w:ascii="Times New Roman" w:hAnsi="Times New Roman" w:cs="Times New Roman"/>
          <w:sz w:val="24"/>
          <w:szCs w:val="24"/>
        </w:rPr>
        <w:t>r TAK.</w:t>
      </w:r>
    </w:p>
    <w:p w:rsidR="001D6CED" w:rsidRPr="00C55940" w:rsidRDefault="001D6CED" w:rsidP="008D67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D6CED" w:rsidRPr="00C55940" w:rsidRDefault="001D6CED" w:rsidP="008D672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>Neni 35</w:t>
      </w:r>
      <w:r w:rsidR="006D464D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>Kërkesat për Libra dhe Regjistrime</w:t>
      </w:r>
      <w:r w:rsidRPr="00C55940">
        <w:rPr>
          <w:rFonts w:ascii="Times New Roman" w:hAnsi="Times New Roman" w:cs="Times New Roman"/>
          <w:sz w:val="24"/>
          <w:szCs w:val="24"/>
        </w:rPr>
        <w:t>,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riformulohet me qellim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harmonizimit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limitit me pragun për Tatimin mbi Vlerën e Shtuar.</w:t>
      </w:r>
    </w:p>
    <w:p w:rsidR="001D6CED" w:rsidRPr="00C55940" w:rsidRDefault="001D6CED" w:rsidP="008D67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746C6" w:rsidRPr="00C55940" w:rsidRDefault="001D6CED" w:rsidP="008D672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Neni 36</w:t>
      </w:r>
      <w:r w:rsidR="006D464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Kërkesat për Libra dhe Regjistrime p</w:t>
      </w:r>
      <w:r w:rsidR="00C951F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>r bizneset e vogla</w:t>
      </w:r>
      <w:r w:rsidRPr="00C55940">
        <w:rPr>
          <w:rFonts w:ascii="Times New Roman" w:hAnsi="Times New Roman" w:cs="Times New Roman"/>
          <w:sz w:val="24"/>
          <w:szCs w:val="24"/>
        </w:rPr>
        <w:t>,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riformulohet me q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>llim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harmonizimit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limitit me pragun për Tatimin mbi Vlerën e Shtuar.</w:t>
      </w:r>
    </w:p>
    <w:p w:rsidR="00664B7F" w:rsidRPr="00C55940" w:rsidRDefault="00664B7F" w:rsidP="008D67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77C98" w:rsidRPr="00C55940" w:rsidRDefault="007F7FAA" w:rsidP="008D672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>Neni 37</w:t>
      </w:r>
      <w:r w:rsidR="006D464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Deklarimi i tatimeve</w:t>
      </w:r>
      <w:r w:rsidRPr="00C55940">
        <w:rPr>
          <w:rFonts w:ascii="Times New Roman" w:hAnsi="Times New Roman" w:cs="Times New Roman"/>
          <w:sz w:val="24"/>
          <w:szCs w:val="24"/>
        </w:rPr>
        <w:t>,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riformulohet</w:t>
      </w:r>
      <w:r w:rsidR="00D24BFC" w:rsidRPr="00C55940">
        <w:rPr>
          <w:rFonts w:ascii="Times New Roman" w:hAnsi="Times New Roman" w:cs="Times New Roman"/>
          <w:sz w:val="24"/>
          <w:szCs w:val="24"/>
        </w:rPr>
        <w:t xml:space="preserve"> </w:t>
      </w:r>
      <w:r w:rsidRPr="00C55940">
        <w:rPr>
          <w:rFonts w:ascii="Times New Roman" w:hAnsi="Times New Roman" w:cs="Times New Roman"/>
          <w:sz w:val="24"/>
          <w:szCs w:val="24"/>
        </w:rPr>
        <w:t>/ plotësohet</w:t>
      </w:r>
      <w:r w:rsidR="00130A94" w:rsidRPr="00C55940">
        <w:rPr>
          <w:rFonts w:ascii="Times New Roman" w:hAnsi="Times New Roman" w:cs="Times New Roman"/>
          <w:sz w:val="24"/>
          <w:szCs w:val="24"/>
        </w:rPr>
        <w:t xml:space="preserve"> dhe përmirësohen gabime teknike.</w:t>
      </w:r>
    </w:p>
    <w:p w:rsidR="00130A94" w:rsidRPr="00C55940" w:rsidRDefault="00130A94" w:rsidP="008D67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7216D" w:rsidRPr="00C55940" w:rsidRDefault="0037216D" w:rsidP="008D672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>Neni 38</w:t>
      </w:r>
      <w:r w:rsidR="006D464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C951F7">
        <w:rPr>
          <w:rFonts w:ascii="Times New Roman" w:hAnsi="Times New Roman" w:cs="Times New Roman"/>
          <w:b/>
          <w:sz w:val="24"/>
          <w:szCs w:val="24"/>
          <w:u w:val="single"/>
        </w:rPr>
        <w:t xml:space="preserve"> Pagesa e tatimit</w:t>
      </w:r>
      <w:r w:rsidRPr="00C55940">
        <w:rPr>
          <w:rFonts w:ascii="Times New Roman" w:hAnsi="Times New Roman" w:cs="Times New Roman"/>
          <w:sz w:val="24"/>
          <w:szCs w:val="24"/>
        </w:rPr>
        <w:t>,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riformulohet me qellim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harmonizimit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limitit me pragun për Tatimin mbi Vlerën e Shtuar. Po ashtu, paragrafi 6,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>n-paragrafi 6.2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riformulohet duke mundësuar q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parapagimi i tatimit t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këtë mundësi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bartjen për shlyerjen e detyrimeve tatimore si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pagesa paradhënie apo edhe n</w:t>
      </w:r>
      <w:r w:rsidR="00207555" w:rsidRPr="00C55940">
        <w:rPr>
          <w:rFonts w:ascii="Times New Roman" w:hAnsi="Times New Roman" w:cs="Times New Roman"/>
          <w:sz w:val="24"/>
          <w:szCs w:val="24"/>
        </w:rPr>
        <w:t>ë</w:t>
      </w:r>
      <w:r w:rsidRPr="00C55940">
        <w:rPr>
          <w:rFonts w:ascii="Times New Roman" w:hAnsi="Times New Roman" w:cs="Times New Roman"/>
          <w:sz w:val="24"/>
          <w:szCs w:val="24"/>
        </w:rPr>
        <w:t xml:space="preserve"> cilindo lloj tatimi dhe kontribut </w:t>
      </w:r>
      <w:proofErr w:type="spellStart"/>
      <w:r w:rsidRPr="00C55940">
        <w:rPr>
          <w:rFonts w:ascii="Times New Roman" w:hAnsi="Times New Roman" w:cs="Times New Roman"/>
          <w:sz w:val="24"/>
          <w:szCs w:val="24"/>
        </w:rPr>
        <w:t>pensional</w:t>
      </w:r>
      <w:proofErr w:type="spellEnd"/>
      <w:r w:rsidRPr="00C55940">
        <w:rPr>
          <w:rFonts w:ascii="Times New Roman" w:hAnsi="Times New Roman" w:cs="Times New Roman"/>
          <w:sz w:val="24"/>
          <w:szCs w:val="24"/>
        </w:rPr>
        <w:t>.</w:t>
      </w:r>
    </w:p>
    <w:p w:rsidR="00130A94" w:rsidRPr="00C55940" w:rsidRDefault="00130A94" w:rsidP="008D67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61310" w:rsidRPr="0089523B" w:rsidRDefault="00161310" w:rsidP="0089523B">
      <w:pPr>
        <w:pStyle w:val="Heading1"/>
        <w:numPr>
          <w:ilvl w:val="0"/>
          <w:numId w:val="14"/>
        </w:numPr>
        <w:rPr>
          <w:rFonts w:ascii="Times New Roman" w:hAnsi="Times New Roman" w:cs="Times New Roman"/>
          <w:b/>
          <w:color w:val="000099"/>
          <w:sz w:val="28"/>
          <w:szCs w:val="24"/>
        </w:rPr>
      </w:pPr>
      <w:bookmarkStart w:id="11" w:name="_Toc504390432"/>
      <w:r w:rsidRPr="0089523B">
        <w:rPr>
          <w:rFonts w:ascii="Times New Roman" w:hAnsi="Times New Roman" w:cs="Times New Roman"/>
          <w:b/>
          <w:color w:val="000099"/>
          <w:sz w:val="28"/>
          <w:szCs w:val="24"/>
        </w:rPr>
        <w:t>Pasojat e të gjitha opsioneve të konsideruara</w:t>
      </w:r>
      <w:bookmarkEnd w:id="11"/>
    </w:p>
    <w:p w:rsidR="00161310" w:rsidRPr="00C55940" w:rsidRDefault="00161310" w:rsidP="008D672D">
      <w:pPr>
        <w:pStyle w:val="Default"/>
        <w:jc w:val="both"/>
        <w:rPr>
          <w:color w:val="auto"/>
        </w:rPr>
      </w:pPr>
    </w:p>
    <w:p w:rsidR="00161310" w:rsidRDefault="00FF25F5" w:rsidP="008D672D">
      <w:pPr>
        <w:pStyle w:val="Default"/>
        <w:jc w:val="both"/>
        <w:rPr>
          <w:color w:val="auto"/>
        </w:rPr>
      </w:pPr>
      <w:r w:rsidRPr="00C55940">
        <w:rPr>
          <w:color w:val="auto"/>
        </w:rPr>
        <w:t>Ndryshimi dhe plotësimi i ligjeve ekzistuese sipas llojit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tatimeve</w:t>
      </w:r>
      <w:r w:rsidR="00D24BFC" w:rsidRPr="00C55940">
        <w:rPr>
          <w:color w:val="auto"/>
        </w:rPr>
        <w:t>,</w:t>
      </w:r>
      <w:r w:rsidRPr="00C55940">
        <w:rPr>
          <w:color w:val="auto"/>
        </w:rPr>
        <w:t xml:space="preserve"> si dhe hartimi i </w:t>
      </w:r>
      <w:r w:rsidR="00161310" w:rsidRPr="00C55940">
        <w:rPr>
          <w:color w:val="auto"/>
        </w:rPr>
        <w:t xml:space="preserve">një Projektligji </w:t>
      </w:r>
      <w:r w:rsidRPr="00C55940">
        <w:rPr>
          <w:color w:val="auto"/>
        </w:rPr>
        <w:t>të ri p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r </w:t>
      </w:r>
      <w:r w:rsidR="000C6097" w:rsidRPr="00C55940">
        <w:rPr>
          <w:color w:val="auto"/>
        </w:rPr>
        <w:t>Administratën</w:t>
      </w:r>
      <w:r w:rsidRPr="00C55940">
        <w:rPr>
          <w:color w:val="auto"/>
        </w:rPr>
        <w:t xml:space="preserve"> Tatimore dhe Procedurat, </w:t>
      </w:r>
      <w:r w:rsidR="00161310" w:rsidRPr="00C55940">
        <w:rPr>
          <w:color w:val="auto"/>
        </w:rPr>
        <w:t>ko</w:t>
      </w:r>
      <w:r w:rsidR="000C6097" w:rsidRPr="00C55940">
        <w:rPr>
          <w:color w:val="auto"/>
        </w:rPr>
        <w:t xml:space="preserve">nsiderohet të jetë opsioni më i </w:t>
      </w:r>
      <w:r w:rsidR="00161310" w:rsidRPr="00C55940">
        <w:rPr>
          <w:color w:val="auto"/>
        </w:rPr>
        <w:t>mirë dhe i rekomanduar për Qeverinë e Republikës së Kosovës. Më</w:t>
      </w:r>
      <w:r w:rsidR="000C6097" w:rsidRPr="00C55940">
        <w:rPr>
          <w:color w:val="auto"/>
        </w:rPr>
        <w:t xml:space="preserve"> anë të këtyre ndryshimeve</w:t>
      </w:r>
      <w:r w:rsidR="00161310" w:rsidRPr="00C55940">
        <w:rPr>
          <w:color w:val="auto"/>
        </w:rPr>
        <w:t>, synohet të adresohen të gjitha nevojat për realizimin e qëllimit të përcaktuar në këtë koncept dokument.</w:t>
      </w:r>
      <w:r w:rsidR="00B43CBE" w:rsidRPr="00C55940">
        <w:rPr>
          <w:color w:val="auto"/>
        </w:rPr>
        <w:t xml:space="preserve"> </w:t>
      </w:r>
      <w:r w:rsidR="00161310" w:rsidRPr="00C55940">
        <w:rPr>
          <w:color w:val="auto"/>
        </w:rPr>
        <w:t xml:space="preserve">Ndryshimet që synohet të adresohen në kuadër të opsionit të rekomanduar parashihen të lehtësojnë dhe të ngritin efektivitetin e zbatimit të </w:t>
      </w:r>
      <w:r w:rsidR="000C6097" w:rsidRPr="00C55940">
        <w:rPr>
          <w:color w:val="auto"/>
        </w:rPr>
        <w:t>ligjeve tatimore</w:t>
      </w:r>
      <w:r w:rsidR="00161310" w:rsidRPr="00C55940">
        <w:rPr>
          <w:color w:val="auto"/>
        </w:rPr>
        <w:t>, e që synohet të shoqërohet me zvogëlimin e shpenzimeve për zbatimin e legjislacionit</w:t>
      </w:r>
      <w:r w:rsidR="000C6097" w:rsidRPr="00C55940">
        <w:rPr>
          <w:color w:val="auto"/>
        </w:rPr>
        <w:t xml:space="preserve"> n</w:t>
      </w:r>
      <w:r w:rsidR="00207555" w:rsidRPr="00C55940">
        <w:rPr>
          <w:color w:val="auto"/>
        </w:rPr>
        <w:t>ë</w:t>
      </w:r>
      <w:r w:rsidR="000C6097" w:rsidRPr="00C55940">
        <w:rPr>
          <w:color w:val="auto"/>
        </w:rPr>
        <w:t xml:space="preserve"> </w:t>
      </w:r>
      <w:r w:rsidR="001B4778" w:rsidRPr="00C55940">
        <w:rPr>
          <w:color w:val="auto"/>
        </w:rPr>
        <w:t>përgjithësi</w:t>
      </w:r>
      <w:r w:rsidR="00161310" w:rsidRPr="00C55940">
        <w:rPr>
          <w:color w:val="auto"/>
        </w:rPr>
        <w:t>. Konkretisht, pasojat që priten të prodhojë ky opsion janë implementimi më i lehtë i legjislacionit, përshpejtimi i procedurave, reduktimi i nevojë</w:t>
      </w:r>
      <w:r w:rsidR="00D24BFC" w:rsidRPr="00C55940">
        <w:rPr>
          <w:color w:val="auto"/>
        </w:rPr>
        <w:t>s</w:t>
      </w:r>
      <w:r w:rsidR="00161310" w:rsidRPr="00C55940">
        <w:rPr>
          <w:color w:val="auto"/>
        </w:rPr>
        <w:t xml:space="preserve"> p</w:t>
      </w:r>
      <w:r w:rsidR="000C6097" w:rsidRPr="00C55940">
        <w:rPr>
          <w:color w:val="auto"/>
        </w:rPr>
        <w:t>ër sanksionim dhe, si rrjedhojë  e</w:t>
      </w:r>
      <w:r w:rsidR="00161310" w:rsidRPr="00C55940">
        <w:rPr>
          <w:color w:val="auto"/>
        </w:rPr>
        <w:t xml:space="preserve"> proceseve të mundshme gjyqësore. </w:t>
      </w:r>
    </w:p>
    <w:p w:rsidR="00C951F7" w:rsidRPr="00C55940" w:rsidRDefault="00C951F7" w:rsidP="008D672D">
      <w:pPr>
        <w:pStyle w:val="Default"/>
        <w:jc w:val="both"/>
        <w:rPr>
          <w:color w:val="auto"/>
        </w:rPr>
      </w:pPr>
    </w:p>
    <w:p w:rsidR="00097882" w:rsidRDefault="00097882" w:rsidP="008D672D">
      <w:pPr>
        <w:pStyle w:val="Default"/>
        <w:jc w:val="both"/>
        <w:rPr>
          <w:b/>
          <w:bCs/>
          <w:color w:val="auto"/>
        </w:rPr>
      </w:pPr>
    </w:p>
    <w:p w:rsidR="006D464D" w:rsidRPr="00C55940" w:rsidRDefault="006D464D" w:rsidP="008D672D">
      <w:pPr>
        <w:pStyle w:val="Default"/>
        <w:jc w:val="both"/>
        <w:rPr>
          <w:b/>
          <w:bCs/>
          <w:color w:val="auto"/>
        </w:rPr>
      </w:pPr>
    </w:p>
    <w:p w:rsidR="00161310" w:rsidRPr="0089523B" w:rsidRDefault="00161310" w:rsidP="0089523B">
      <w:pPr>
        <w:pStyle w:val="Heading1"/>
        <w:numPr>
          <w:ilvl w:val="0"/>
          <w:numId w:val="14"/>
        </w:numPr>
        <w:rPr>
          <w:rFonts w:ascii="Times New Roman" w:hAnsi="Times New Roman" w:cs="Times New Roman"/>
          <w:b/>
          <w:color w:val="000099"/>
          <w:sz w:val="28"/>
          <w:szCs w:val="24"/>
        </w:rPr>
      </w:pPr>
      <w:bookmarkStart w:id="12" w:name="_Toc504390433"/>
      <w:r w:rsidRPr="0089523B">
        <w:rPr>
          <w:rFonts w:ascii="Times New Roman" w:hAnsi="Times New Roman" w:cs="Times New Roman"/>
          <w:b/>
          <w:color w:val="000099"/>
          <w:sz w:val="28"/>
          <w:szCs w:val="24"/>
        </w:rPr>
        <w:t>Vlerësimi i ndikimit financiar për secilin propozim</w:t>
      </w:r>
      <w:bookmarkEnd w:id="12"/>
    </w:p>
    <w:p w:rsidR="00161310" w:rsidRPr="00C55940" w:rsidRDefault="00161310" w:rsidP="008D672D">
      <w:pPr>
        <w:pStyle w:val="Default"/>
        <w:jc w:val="both"/>
        <w:rPr>
          <w:color w:val="auto"/>
        </w:rPr>
      </w:pPr>
    </w:p>
    <w:p w:rsidR="00161310" w:rsidRPr="00C55940" w:rsidRDefault="000C6097" w:rsidP="008D672D">
      <w:pPr>
        <w:pStyle w:val="Default"/>
        <w:jc w:val="both"/>
        <w:rPr>
          <w:color w:val="auto"/>
        </w:rPr>
      </w:pPr>
      <w:r w:rsidRPr="00C55940">
        <w:rPr>
          <w:color w:val="auto"/>
        </w:rPr>
        <w:t>Për p</w:t>
      </w:r>
      <w:r w:rsidR="00161310" w:rsidRPr="00C55940">
        <w:rPr>
          <w:color w:val="auto"/>
        </w:rPr>
        <w:t xml:space="preserve">ropozimet e shqyrtuara nga </w:t>
      </w:r>
      <w:r w:rsidR="001B4778" w:rsidRPr="00C55940">
        <w:rPr>
          <w:color w:val="auto"/>
        </w:rPr>
        <w:t>Grupi punues</w:t>
      </w:r>
      <w:r w:rsidRPr="00C55940">
        <w:rPr>
          <w:color w:val="auto"/>
        </w:rPr>
        <w:t xml:space="preserve"> p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>r përgatitjen e këtij Koncept Dokumenti</w:t>
      </w:r>
      <w:r w:rsidR="00161310" w:rsidRPr="00C55940">
        <w:rPr>
          <w:color w:val="auto"/>
        </w:rPr>
        <w:t xml:space="preserve"> </w:t>
      </w:r>
      <w:r w:rsidRPr="00C55940">
        <w:rPr>
          <w:color w:val="auto"/>
        </w:rPr>
        <w:t>nuk parashihet</w:t>
      </w:r>
      <w:r w:rsidR="00161310" w:rsidRPr="00C55940">
        <w:rPr>
          <w:color w:val="auto"/>
        </w:rPr>
        <w:t xml:space="preserve"> kosto shtesë financiare apo mund të kenë kosto minimale financiare. Po ashtu, shpenzimet buxhetore mes opsioneve të ndryshme nuk janë të theksueshme. </w:t>
      </w:r>
    </w:p>
    <w:p w:rsidR="00161310" w:rsidRPr="00C55940" w:rsidRDefault="00161310" w:rsidP="008D672D">
      <w:pPr>
        <w:pStyle w:val="Default"/>
        <w:jc w:val="both"/>
        <w:rPr>
          <w:color w:val="auto"/>
        </w:rPr>
      </w:pPr>
      <w:r w:rsidRPr="00C55940">
        <w:rPr>
          <w:color w:val="auto"/>
        </w:rPr>
        <w:t xml:space="preserve">Opsioni i rekomanduar nga </w:t>
      </w:r>
      <w:r w:rsidR="001B4778" w:rsidRPr="00C55940">
        <w:rPr>
          <w:color w:val="auto"/>
        </w:rPr>
        <w:t>Grupi punues</w:t>
      </w:r>
      <w:r w:rsidR="000C6097" w:rsidRPr="00C55940">
        <w:rPr>
          <w:color w:val="auto"/>
        </w:rPr>
        <w:t>, pra, ndryshim</w:t>
      </w:r>
      <w:r w:rsidR="00DB26D9" w:rsidRPr="00C55940">
        <w:rPr>
          <w:color w:val="auto"/>
        </w:rPr>
        <w:t>/</w:t>
      </w:r>
      <w:r w:rsidR="000C6097" w:rsidRPr="00C55940">
        <w:rPr>
          <w:color w:val="auto"/>
        </w:rPr>
        <w:t>plotësimi i ligjeve ekzistuese tatimore si dhe hartimi</w:t>
      </w:r>
      <w:r w:rsidRPr="00C55940">
        <w:rPr>
          <w:color w:val="auto"/>
        </w:rPr>
        <w:t xml:space="preserve"> i Projektligjit</w:t>
      </w:r>
      <w:r w:rsidR="000C6097" w:rsidRPr="00C55940">
        <w:rPr>
          <w:color w:val="auto"/>
        </w:rPr>
        <w:t xml:space="preserve"> t</w:t>
      </w:r>
      <w:r w:rsidR="00207555" w:rsidRPr="00C55940">
        <w:rPr>
          <w:color w:val="auto"/>
        </w:rPr>
        <w:t>ë</w:t>
      </w:r>
      <w:r w:rsidR="000C6097" w:rsidRPr="00C55940">
        <w:rPr>
          <w:color w:val="auto"/>
        </w:rPr>
        <w:t xml:space="preserve"> ri p</w:t>
      </w:r>
      <w:r w:rsidR="00207555" w:rsidRPr="00C55940">
        <w:rPr>
          <w:color w:val="auto"/>
        </w:rPr>
        <w:t>ë</w:t>
      </w:r>
      <w:r w:rsidR="000C6097" w:rsidRPr="00C55940">
        <w:rPr>
          <w:color w:val="auto"/>
        </w:rPr>
        <w:t xml:space="preserve">r Administratën Tatimore dhe Procedurat, </w:t>
      </w:r>
      <w:r w:rsidRPr="00C55940">
        <w:rPr>
          <w:color w:val="auto"/>
        </w:rPr>
        <w:t xml:space="preserve"> </w:t>
      </w:r>
      <w:r w:rsidR="000C6097" w:rsidRPr="00C55940">
        <w:rPr>
          <w:color w:val="auto"/>
        </w:rPr>
        <w:t>nuk parasheh</w:t>
      </w:r>
      <w:r w:rsidRPr="00C55940">
        <w:rPr>
          <w:color w:val="auto"/>
        </w:rPr>
        <w:t xml:space="preserve"> kosto shtesë financiare, marrë parasysh që ndryshimet kryesore që duhet të bëhen janë kryesisht të fokusuara në problemet e harmonizimit të </w:t>
      </w:r>
      <w:r w:rsidR="000C6097" w:rsidRPr="00C55940">
        <w:rPr>
          <w:color w:val="auto"/>
        </w:rPr>
        <w:t>ligjeve</w:t>
      </w:r>
      <w:r w:rsidRPr="00C55940">
        <w:rPr>
          <w:color w:val="auto"/>
        </w:rPr>
        <w:t xml:space="preserve">, ato teknike dhe </w:t>
      </w:r>
      <w:proofErr w:type="spellStart"/>
      <w:r w:rsidRPr="00C55940">
        <w:rPr>
          <w:color w:val="auto"/>
        </w:rPr>
        <w:t>referenciale</w:t>
      </w:r>
      <w:proofErr w:type="spellEnd"/>
      <w:r w:rsidRPr="00C55940">
        <w:rPr>
          <w:color w:val="auto"/>
        </w:rPr>
        <w:t xml:space="preserve">, si dhe evitimi i problemeve tjera </w:t>
      </w:r>
      <w:r w:rsidR="000C6097" w:rsidRPr="00C55940">
        <w:rPr>
          <w:color w:val="auto"/>
        </w:rPr>
        <w:t>gja</w:t>
      </w:r>
      <w:r w:rsidRPr="00C55940">
        <w:rPr>
          <w:color w:val="auto"/>
        </w:rPr>
        <w:t xml:space="preserve">të </w:t>
      </w:r>
      <w:r w:rsidR="000C6097" w:rsidRPr="00C55940">
        <w:rPr>
          <w:color w:val="auto"/>
        </w:rPr>
        <w:t>zbatimit</w:t>
      </w:r>
      <w:r w:rsidRPr="00C55940">
        <w:rPr>
          <w:color w:val="auto"/>
        </w:rPr>
        <w:t xml:space="preserve">, si dhe marrë parasysh që opsioni i rekomanduar nuk do të kërkojnë krijimin e funksioneve të reja të detyrave plotësuese për institucionet publike. </w:t>
      </w:r>
    </w:p>
    <w:p w:rsidR="00097882" w:rsidRPr="00C55940" w:rsidRDefault="00097882" w:rsidP="008D672D">
      <w:pPr>
        <w:pStyle w:val="Default"/>
        <w:jc w:val="both"/>
        <w:rPr>
          <w:b/>
          <w:bCs/>
          <w:color w:val="auto"/>
        </w:rPr>
      </w:pPr>
    </w:p>
    <w:p w:rsidR="00097882" w:rsidRDefault="00097882" w:rsidP="008D672D">
      <w:pPr>
        <w:pStyle w:val="Default"/>
        <w:jc w:val="both"/>
        <w:rPr>
          <w:b/>
          <w:bCs/>
          <w:color w:val="auto"/>
        </w:rPr>
      </w:pPr>
    </w:p>
    <w:p w:rsidR="00BE7FFC" w:rsidRDefault="00BE7FFC" w:rsidP="008D672D">
      <w:pPr>
        <w:pStyle w:val="Default"/>
        <w:jc w:val="both"/>
        <w:rPr>
          <w:b/>
          <w:bCs/>
          <w:color w:val="auto"/>
        </w:rPr>
      </w:pPr>
    </w:p>
    <w:p w:rsidR="00BE7FFC" w:rsidRDefault="00BE7FFC" w:rsidP="008D672D">
      <w:pPr>
        <w:pStyle w:val="Default"/>
        <w:jc w:val="both"/>
        <w:rPr>
          <w:b/>
          <w:bCs/>
          <w:color w:val="auto"/>
        </w:rPr>
      </w:pPr>
    </w:p>
    <w:p w:rsidR="006D464D" w:rsidRPr="00C55940" w:rsidRDefault="006D464D" w:rsidP="008D672D">
      <w:pPr>
        <w:pStyle w:val="Default"/>
        <w:jc w:val="both"/>
        <w:rPr>
          <w:b/>
          <w:bCs/>
          <w:color w:val="auto"/>
        </w:rPr>
      </w:pPr>
    </w:p>
    <w:p w:rsidR="00161310" w:rsidRPr="0089523B" w:rsidRDefault="00161310" w:rsidP="0089523B">
      <w:pPr>
        <w:pStyle w:val="Heading1"/>
        <w:numPr>
          <w:ilvl w:val="0"/>
          <w:numId w:val="14"/>
        </w:numPr>
        <w:rPr>
          <w:rFonts w:ascii="Times New Roman" w:hAnsi="Times New Roman" w:cs="Times New Roman"/>
          <w:b/>
          <w:color w:val="000099"/>
          <w:sz w:val="28"/>
          <w:szCs w:val="24"/>
        </w:rPr>
      </w:pPr>
      <w:bookmarkStart w:id="13" w:name="_Toc504390434"/>
      <w:r w:rsidRPr="0089523B">
        <w:rPr>
          <w:rFonts w:ascii="Times New Roman" w:hAnsi="Times New Roman" w:cs="Times New Roman"/>
          <w:b/>
          <w:color w:val="000099"/>
          <w:sz w:val="28"/>
          <w:szCs w:val="24"/>
        </w:rPr>
        <w:lastRenderedPageBreak/>
        <w:t>Konsultimet</w:t>
      </w:r>
      <w:bookmarkEnd w:id="13"/>
    </w:p>
    <w:p w:rsidR="00161310" w:rsidRPr="00C55940" w:rsidRDefault="00161310" w:rsidP="008D672D">
      <w:pPr>
        <w:pStyle w:val="Default"/>
        <w:jc w:val="both"/>
        <w:rPr>
          <w:color w:val="auto"/>
        </w:rPr>
      </w:pPr>
    </w:p>
    <w:p w:rsidR="006D464D" w:rsidRPr="00BE7FFC" w:rsidRDefault="00161310" w:rsidP="00BE7FFC">
      <w:pPr>
        <w:pStyle w:val="Default"/>
        <w:jc w:val="both"/>
        <w:rPr>
          <w:color w:val="auto"/>
        </w:rPr>
      </w:pPr>
      <w:r w:rsidRPr="00C55940">
        <w:rPr>
          <w:color w:val="auto"/>
        </w:rPr>
        <w:t>Gjatë përgatitjes së Strategjisë Legjislative për vitin 20</w:t>
      </w:r>
      <w:r w:rsidR="00D73A10" w:rsidRPr="00C55940">
        <w:rPr>
          <w:color w:val="auto"/>
        </w:rPr>
        <w:t>18</w:t>
      </w:r>
      <w:r w:rsidRPr="00C55940">
        <w:rPr>
          <w:color w:val="auto"/>
        </w:rPr>
        <w:t xml:space="preserve"> dhe Programit t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Qeveri</w:t>
      </w:r>
      <w:r w:rsidR="000C6097" w:rsidRPr="00C55940">
        <w:rPr>
          <w:color w:val="auto"/>
        </w:rPr>
        <w:t>s</w:t>
      </w:r>
      <w:r w:rsidR="00207555" w:rsidRPr="00C55940">
        <w:rPr>
          <w:color w:val="auto"/>
        </w:rPr>
        <w:t>ë</w:t>
      </w:r>
      <w:r w:rsidR="000C6097" w:rsidRPr="00C55940">
        <w:rPr>
          <w:color w:val="auto"/>
        </w:rPr>
        <w:t xml:space="preserve"> s</w:t>
      </w:r>
      <w:r w:rsidR="00207555" w:rsidRPr="00C55940">
        <w:rPr>
          <w:color w:val="auto"/>
        </w:rPr>
        <w:t>ë</w:t>
      </w:r>
      <w:r w:rsidR="000C6097" w:rsidRPr="00C55940">
        <w:rPr>
          <w:color w:val="auto"/>
        </w:rPr>
        <w:t xml:space="preserve"> Republikës s</w:t>
      </w:r>
      <w:r w:rsidR="00207555" w:rsidRPr="00C55940">
        <w:rPr>
          <w:color w:val="auto"/>
        </w:rPr>
        <w:t>ë</w:t>
      </w:r>
      <w:r w:rsidR="00DB26D9" w:rsidRPr="00C55940">
        <w:rPr>
          <w:color w:val="auto"/>
        </w:rPr>
        <w:t xml:space="preserve"> </w:t>
      </w:r>
      <w:r w:rsidR="000C6097" w:rsidRPr="00C55940">
        <w:rPr>
          <w:color w:val="auto"/>
        </w:rPr>
        <w:t>Kosovës 2017 – 2021, për qëllime informative janë</w:t>
      </w:r>
      <w:r w:rsidRPr="00C55940">
        <w:rPr>
          <w:color w:val="auto"/>
        </w:rPr>
        <w:t xml:space="preserve"> mbledhur informata me metoda direk</w:t>
      </w:r>
      <w:r w:rsidR="000C6097" w:rsidRPr="00C55940">
        <w:rPr>
          <w:color w:val="auto"/>
        </w:rPr>
        <w:t>te dhe indirekte, përfshirë këtu</w:t>
      </w:r>
      <w:r w:rsidRPr="00C55940">
        <w:rPr>
          <w:color w:val="auto"/>
        </w:rPr>
        <w:t xml:space="preserve"> edhe çështjet që kishin të bëjnë me zbatimin e </w:t>
      </w:r>
      <w:r w:rsidR="000C6097" w:rsidRPr="00C55940">
        <w:rPr>
          <w:color w:val="auto"/>
        </w:rPr>
        <w:t>legjislacionit tatimor</w:t>
      </w:r>
      <w:r w:rsidRPr="00C55940">
        <w:rPr>
          <w:color w:val="auto"/>
        </w:rPr>
        <w:t>. Gjithashtu, pjes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e kontributit</w:t>
      </w:r>
      <w:r w:rsidR="000C6097" w:rsidRPr="00C55940">
        <w:rPr>
          <w:color w:val="auto"/>
        </w:rPr>
        <w:t>, përveç institucioneve ndërkombëtare si FMN-s</w:t>
      </w:r>
      <w:r w:rsidR="00207555" w:rsidRPr="00C55940">
        <w:rPr>
          <w:color w:val="auto"/>
        </w:rPr>
        <w:t>ë</w:t>
      </w:r>
      <w:r w:rsidR="000C6097" w:rsidRPr="00C55940">
        <w:rPr>
          <w:color w:val="auto"/>
        </w:rPr>
        <w:t>, GIZ-it etj.</w:t>
      </w:r>
      <w:r w:rsidR="00DB26D9" w:rsidRPr="00C55940">
        <w:rPr>
          <w:color w:val="auto"/>
        </w:rPr>
        <w:t>,</w:t>
      </w:r>
      <w:r w:rsidRPr="00C55940">
        <w:rPr>
          <w:color w:val="auto"/>
        </w:rPr>
        <w:t xml:space="preserve"> janë edhe çështjet e ngritura nga komuniteti i biznesit përmes Odave ekonomike dhe Asociacioneve biznesore p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>r vështirësitë q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kanë hasur tatimpaguesit n</w:t>
      </w:r>
      <w:r w:rsidR="00207555" w:rsidRPr="00C55940">
        <w:rPr>
          <w:color w:val="auto"/>
        </w:rPr>
        <w:t>ë</w:t>
      </w:r>
      <w:r w:rsidRPr="00C55940">
        <w:rPr>
          <w:color w:val="auto"/>
        </w:rPr>
        <w:t xml:space="preserve"> raport me përmbushjen tatimore. </w:t>
      </w:r>
      <w:r w:rsidR="006D464D">
        <w:rPr>
          <w:b/>
          <w:color w:val="000099"/>
          <w:sz w:val="28"/>
        </w:rPr>
        <w:br w:type="page"/>
      </w:r>
    </w:p>
    <w:p w:rsidR="00161310" w:rsidRPr="0089523B" w:rsidRDefault="00161310" w:rsidP="0089523B">
      <w:pPr>
        <w:pStyle w:val="Heading1"/>
        <w:numPr>
          <w:ilvl w:val="0"/>
          <w:numId w:val="14"/>
        </w:numPr>
        <w:rPr>
          <w:rFonts w:ascii="Times New Roman" w:hAnsi="Times New Roman" w:cs="Times New Roman"/>
          <w:b/>
          <w:color w:val="000099"/>
          <w:sz w:val="28"/>
          <w:szCs w:val="24"/>
        </w:rPr>
      </w:pPr>
      <w:r w:rsidRPr="0089523B">
        <w:rPr>
          <w:rFonts w:ascii="Times New Roman" w:hAnsi="Times New Roman" w:cs="Times New Roman"/>
          <w:b/>
          <w:color w:val="000099"/>
          <w:sz w:val="28"/>
          <w:szCs w:val="24"/>
        </w:rPr>
        <w:lastRenderedPageBreak/>
        <w:t xml:space="preserve"> </w:t>
      </w:r>
      <w:bookmarkStart w:id="14" w:name="_Toc504390435"/>
      <w:r w:rsidRPr="0089523B">
        <w:rPr>
          <w:rFonts w:ascii="Times New Roman" w:hAnsi="Times New Roman" w:cs="Times New Roman"/>
          <w:b/>
          <w:color w:val="000099"/>
          <w:sz w:val="28"/>
          <w:szCs w:val="24"/>
        </w:rPr>
        <w:t>Mënyra e komunikimit të politikës së re publikut</w:t>
      </w:r>
      <w:bookmarkEnd w:id="14"/>
    </w:p>
    <w:p w:rsidR="00161310" w:rsidRPr="00C55940" w:rsidRDefault="00161310" w:rsidP="008D672D">
      <w:pPr>
        <w:pStyle w:val="Default"/>
        <w:jc w:val="both"/>
        <w:rPr>
          <w:color w:val="auto"/>
        </w:rPr>
      </w:pPr>
    </w:p>
    <w:p w:rsidR="00161310" w:rsidRPr="00C55940" w:rsidRDefault="00161310" w:rsidP="008D672D">
      <w:pPr>
        <w:pStyle w:val="Default"/>
        <w:jc w:val="both"/>
        <w:rPr>
          <w:color w:val="auto"/>
        </w:rPr>
      </w:pPr>
      <w:r w:rsidRPr="00C55940">
        <w:rPr>
          <w:color w:val="auto"/>
        </w:rPr>
        <w:t>Në kua</w:t>
      </w:r>
      <w:r w:rsidR="00B07150" w:rsidRPr="00C55940">
        <w:rPr>
          <w:color w:val="auto"/>
        </w:rPr>
        <w:t>dër të hartimit të projektligjeve</w:t>
      </w:r>
      <w:r w:rsidRPr="00C55940">
        <w:rPr>
          <w:color w:val="auto"/>
        </w:rPr>
        <w:t>, pra në kuadër të konsultimeve paraprake dhe publike,</w:t>
      </w:r>
      <w:r w:rsidR="00B43CBE" w:rsidRPr="00C55940">
        <w:rPr>
          <w:color w:val="auto"/>
        </w:rPr>
        <w:t xml:space="preserve"> </w:t>
      </w:r>
      <w:r w:rsidRPr="00C55940">
        <w:rPr>
          <w:color w:val="auto"/>
        </w:rPr>
        <w:t xml:space="preserve">politika e re do të komunikohet pjesërisht për </w:t>
      </w:r>
      <w:r w:rsidR="00B07150" w:rsidRPr="00C55940">
        <w:rPr>
          <w:color w:val="auto"/>
        </w:rPr>
        <w:t>palët e interesit të përfshira</w:t>
      </w:r>
      <w:r w:rsidRPr="00C55940">
        <w:rPr>
          <w:color w:val="auto"/>
        </w:rPr>
        <w:t xml:space="preserve"> në këtë konsultim. Po ashtu, debatet</w:t>
      </w:r>
      <w:r w:rsidR="00B07150" w:rsidRPr="00C55940">
        <w:rPr>
          <w:color w:val="auto"/>
        </w:rPr>
        <w:t xml:space="preserve"> që do të zhvillohen në Kuvendin e</w:t>
      </w:r>
      <w:r w:rsidRPr="00C55940">
        <w:rPr>
          <w:color w:val="auto"/>
        </w:rPr>
        <w:t xml:space="preserve"> Kosovës do të shfrytëzohen për komunikimin e </w:t>
      </w:r>
      <w:r w:rsidR="00B07150" w:rsidRPr="00C55940">
        <w:rPr>
          <w:color w:val="auto"/>
        </w:rPr>
        <w:t xml:space="preserve"> </w:t>
      </w:r>
      <w:r w:rsidRPr="00C55940">
        <w:rPr>
          <w:color w:val="auto"/>
        </w:rPr>
        <w:t xml:space="preserve">politikës së re për publikun. </w:t>
      </w:r>
    </w:p>
    <w:p w:rsidR="00161310" w:rsidRPr="00C55940" w:rsidRDefault="00B07150" w:rsidP="008D672D">
      <w:pPr>
        <w:pStyle w:val="Default"/>
        <w:jc w:val="both"/>
        <w:rPr>
          <w:color w:val="auto"/>
        </w:rPr>
      </w:pPr>
      <w:r w:rsidRPr="00C55940">
        <w:rPr>
          <w:color w:val="auto"/>
        </w:rPr>
        <w:t>Pas miratimit të projektligjeve</w:t>
      </w:r>
      <w:r w:rsidR="00161310" w:rsidRPr="00C55940">
        <w:rPr>
          <w:color w:val="auto"/>
        </w:rPr>
        <w:t xml:space="preserve"> në Kuvendin e Republikës së Kosovës, parimisht, ATK</w:t>
      </w:r>
      <w:r w:rsidRPr="00C55940">
        <w:rPr>
          <w:color w:val="auto"/>
        </w:rPr>
        <w:t>-ja</w:t>
      </w:r>
      <w:r w:rsidR="00161310" w:rsidRPr="00C55940">
        <w:rPr>
          <w:color w:val="auto"/>
        </w:rPr>
        <w:t xml:space="preserve"> do të kujdeset për komunikimin e politikës së re me publikun, qoftë nëpërmjet njoftimeve formale dhe takimeve me grupe t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caktuara t</w:t>
      </w:r>
      <w:r w:rsidR="00207555" w:rsidRPr="00C55940">
        <w:rPr>
          <w:color w:val="auto"/>
        </w:rPr>
        <w:t>ë</w:t>
      </w:r>
      <w:r w:rsidR="00161310" w:rsidRPr="00C55940">
        <w:rPr>
          <w:color w:val="auto"/>
        </w:rPr>
        <w:t xml:space="preserve"> interesit, po edhe nëpërmjet kampanjave të ndryshme për njoftimin e publikut të gjerë. </w:t>
      </w:r>
    </w:p>
    <w:p w:rsidR="00B43CBE" w:rsidRPr="00F420E1" w:rsidRDefault="00B43CBE" w:rsidP="008D672D">
      <w:pPr>
        <w:pStyle w:val="Default"/>
        <w:jc w:val="both"/>
        <w:rPr>
          <w:b/>
          <w:bCs/>
          <w:color w:val="002060"/>
        </w:rPr>
      </w:pPr>
    </w:p>
    <w:p w:rsidR="00B43CBE" w:rsidRPr="00F420E1" w:rsidRDefault="00B43CBE" w:rsidP="008D672D">
      <w:pPr>
        <w:pStyle w:val="Default"/>
        <w:jc w:val="both"/>
        <w:rPr>
          <w:b/>
          <w:bCs/>
          <w:color w:val="002060"/>
        </w:rPr>
      </w:pPr>
    </w:p>
    <w:p w:rsidR="00161310" w:rsidRPr="00F420E1" w:rsidRDefault="00161310" w:rsidP="008D672D">
      <w:pPr>
        <w:tabs>
          <w:tab w:val="left" w:pos="3975"/>
        </w:tabs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161310" w:rsidRPr="00F420E1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2A" w:rsidRDefault="00F6072A" w:rsidP="00161310">
      <w:pPr>
        <w:spacing w:after="0" w:line="240" w:lineRule="auto"/>
      </w:pPr>
      <w:r>
        <w:separator/>
      </w:r>
    </w:p>
  </w:endnote>
  <w:endnote w:type="continuationSeparator" w:id="0">
    <w:p w:rsidR="00F6072A" w:rsidRDefault="00F6072A" w:rsidP="001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7553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D00B7" w:rsidRDefault="00AD00B7">
            <w:pPr>
              <w:pStyle w:val="Footer"/>
              <w:jc w:val="right"/>
            </w:pPr>
            <w:r w:rsidRPr="00AD00B7">
              <w:rPr>
                <w:sz w:val="16"/>
              </w:rPr>
              <w:t xml:space="preserve">Faqe </w:t>
            </w:r>
            <w:r w:rsidRPr="00AD00B7">
              <w:rPr>
                <w:b/>
                <w:bCs/>
                <w:sz w:val="18"/>
                <w:szCs w:val="24"/>
              </w:rPr>
              <w:fldChar w:fldCharType="begin"/>
            </w:r>
            <w:r w:rsidRPr="00AD00B7">
              <w:rPr>
                <w:b/>
                <w:bCs/>
                <w:sz w:val="16"/>
              </w:rPr>
              <w:instrText>PAGE</w:instrText>
            </w:r>
            <w:r w:rsidRPr="00AD00B7">
              <w:rPr>
                <w:b/>
                <w:bCs/>
                <w:sz w:val="18"/>
                <w:szCs w:val="24"/>
              </w:rPr>
              <w:fldChar w:fldCharType="separate"/>
            </w:r>
            <w:r w:rsidR="00B042F1">
              <w:rPr>
                <w:b/>
                <w:bCs/>
                <w:noProof/>
                <w:sz w:val="16"/>
              </w:rPr>
              <w:t>2</w:t>
            </w:r>
            <w:r w:rsidRPr="00AD00B7">
              <w:rPr>
                <w:b/>
                <w:bCs/>
                <w:sz w:val="18"/>
                <w:szCs w:val="24"/>
              </w:rPr>
              <w:fldChar w:fldCharType="end"/>
            </w:r>
            <w:r w:rsidRPr="00AD00B7">
              <w:rPr>
                <w:sz w:val="16"/>
              </w:rPr>
              <w:t xml:space="preserve"> deri </w:t>
            </w:r>
            <w:r w:rsidRPr="00AD00B7">
              <w:rPr>
                <w:b/>
                <w:bCs/>
                <w:sz w:val="18"/>
                <w:szCs w:val="24"/>
              </w:rPr>
              <w:fldChar w:fldCharType="begin"/>
            </w:r>
            <w:r w:rsidRPr="00AD00B7">
              <w:rPr>
                <w:b/>
                <w:bCs/>
                <w:sz w:val="16"/>
              </w:rPr>
              <w:instrText>NUMPAGES</w:instrText>
            </w:r>
            <w:r w:rsidRPr="00AD00B7">
              <w:rPr>
                <w:b/>
                <w:bCs/>
                <w:sz w:val="18"/>
                <w:szCs w:val="24"/>
              </w:rPr>
              <w:fldChar w:fldCharType="separate"/>
            </w:r>
            <w:r w:rsidR="00B042F1">
              <w:rPr>
                <w:b/>
                <w:bCs/>
                <w:noProof/>
                <w:sz w:val="16"/>
              </w:rPr>
              <w:t>18</w:t>
            </w:r>
            <w:r w:rsidRPr="00AD00B7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AD00B7" w:rsidRDefault="00AD00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2A" w:rsidRDefault="00F6072A" w:rsidP="00161310">
      <w:pPr>
        <w:spacing w:after="0" w:line="240" w:lineRule="auto"/>
      </w:pPr>
      <w:r>
        <w:separator/>
      </w:r>
    </w:p>
  </w:footnote>
  <w:footnote w:type="continuationSeparator" w:id="0">
    <w:p w:rsidR="00F6072A" w:rsidRDefault="00F6072A" w:rsidP="001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1F4"/>
    <w:multiLevelType w:val="hybridMultilevel"/>
    <w:tmpl w:val="36B41E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1A3"/>
    <w:multiLevelType w:val="hybridMultilevel"/>
    <w:tmpl w:val="DF72A1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4927"/>
    <w:multiLevelType w:val="hybridMultilevel"/>
    <w:tmpl w:val="8F120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D4A41"/>
    <w:multiLevelType w:val="hybridMultilevel"/>
    <w:tmpl w:val="ABD80FA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66B9D"/>
    <w:multiLevelType w:val="multilevel"/>
    <w:tmpl w:val="5CE2BE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B24F09"/>
    <w:multiLevelType w:val="multilevel"/>
    <w:tmpl w:val="041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2E1DD0"/>
    <w:multiLevelType w:val="hybridMultilevel"/>
    <w:tmpl w:val="F7761FA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C590E"/>
    <w:multiLevelType w:val="hybridMultilevel"/>
    <w:tmpl w:val="7DA0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C103C"/>
    <w:multiLevelType w:val="hybridMultilevel"/>
    <w:tmpl w:val="19DEDC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859D7"/>
    <w:multiLevelType w:val="hybridMultilevel"/>
    <w:tmpl w:val="CC3E1B8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04577"/>
    <w:multiLevelType w:val="hybridMultilevel"/>
    <w:tmpl w:val="38DEFF0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36B4E"/>
    <w:multiLevelType w:val="hybridMultilevel"/>
    <w:tmpl w:val="AA02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31D45"/>
    <w:multiLevelType w:val="hybridMultilevel"/>
    <w:tmpl w:val="FF8893B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779EC"/>
    <w:multiLevelType w:val="hybridMultilevel"/>
    <w:tmpl w:val="C4A447D6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84CBA"/>
    <w:multiLevelType w:val="hybridMultilevel"/>
    <w:tmpl w:val="A6B4DC1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050A0"/>
    <w:multiLevelType w:val="hybridMultilevel"/>
    <w:tmpl w:val="95FC4D8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D3EA1"/>
    <w:multiLevelType w:val="multilevel"/>
    <w:tmpl w:val="ED823F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7527C61"/>
    <w:multiLevelType w:val="hybridMultilevel"/>
    <w:tmpl w:val="D2C0AF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86793"/>
    <w:multiLevelType w:val="hybridMultilevel"/>
    <w:tmpl w:val="67B0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1580B"/>
    <w:multiLevelType w:val="hybridMultilevel"/>
    <w:tmpl w:val="E388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D279C0"/>
    <w:multiLevelType w:val="hybridMultilevel"/>
    <w:tmpl w:val="5FFA7ECE"/>
    <w:lvl w:ilvl="0" w:tplc="3604A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B73F3"/>
    <w:multiLevelType w:val="multilevel"/>
    <w:tmpl w:val="E8AC94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D737311"/>
    <w:multiLevelType w:val="hybridMultilevel"/>
    <w:tmpl w:val="1C9E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7"/>
  </w:num>
  <w:num w:numId="5">
    <w:abstractNumId w:val="18"/>
  </w:num>
  <w:num w:numId="6">
    <w:abstractNumId w:val="11"/>
  </w:num>
  <w:num w:numId="7">
    <w:abstractNumId w:val="19"/>
  </w:num>
  <w:num w:numId="8">
    <w:abstractNumId w:val="8"/>
  </w:num>
  <w:num w:numId="9">
    <w:abstractNumId w:val="17"/>
  </w:num>
  <w:num w:numId="10">
    <w:abstractNumId w:val="0"/>
  </w:num>
  <w:num w:numId="11">
    <w:abstractNumId w:val="20"/>
  </w:num>
  <w:num w:numId="12">
    <w:abstractNumId w:val="2"/>
  </w:num>
  <w:num w:numId="13">
    <w:abstractNumId w:val="22"/>
  </w:num>
  <w:num w:numId="14">
    <w:abstractNumId w:val="15"/>
  </w:num>
  <w:num w:numId="15">
    <w:abstractNumId w:val="12"/>
  </w:num>
  <w:num w:numId="16">
    <w:abstractNumId w:val="9"/>
  </w:num>
  <w:num w:numId="17">
    <w:abstractNumId w:val="14"/>
  </w:num>
  <w:num w:numId="18">
    <w:abstractNumId w:val="5"/>
  </w:num>
  <w:num w:numId="19">
    <w:abstractNumId w:val="16"/>
  </w:num>
  <w:num w:numId="20">
    <w:abstractNumId w:val="4"/>
  </w:num>
  <w:num w:numId="21">
    <w:abstractNumId w:val="21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10"/>
    <w:rsid w:val="00002DC1"/>
    <w:rsid w:val="00005E21"/>
    <w:rsid w:val="00013A7B"/>
    <w:rsid w:val="000304FB"/>
    <w:rsid w:val="000345C6"/>
    <w:rsid w:val="00075C12"/>
    <w:rsid w:val="00095DFE"/>
    <w:rsid w:val="00097882"/>
    <w:rsid w:val="000A52FD"/>
    <w:rsid w:val="000B5CEC"/>
    <w:rsid w:val="000C6097"/>
    <w:rsid w:val="000D2CEE"/>
    <w:rsid w:val="00114913"/>
    <w:rsid w:val="00130A94"/>
    <w:rsid w:val="00132F6B"/>
    <w:rsid w:val="00136C9A"/>
    <w:rsid w:val="0014268D"/>
    <w:rsid w:val="00151082"/>
    <w:rsid w:val="00152EAD"/>
    <w:rsid w:val="00161302"/>
    <w:rsid w:val="00161310"/>
    <w:rsid w:val="001813E2"/>
    <w:rsid w:val="00184B44"/>
    <w:rsid w:val="001A1978"/>
    <w:rsid w:val="001A1D5B"/>
    <w:rsid w:val="001A58AA"/>
    <w:rsid w:val="001A61EA"/>
    <w:rsid w:val="001B4778"/>
    <w:rsid w:val="001B4CAF"/>
    <w:rsid w:val="001B59CD"/>
    <w:rsid w:val="001C69D3"/>
    <w:rsid w:val="001D6CED"/>
    <w:rsid w:val="00207555"/>
    <w:rsid w:val="00220208"/>
    <w:rsid w:val="00224874"/>
    <w:rsid w:val="00224CCF"/>
    <w:rsid w:val="00243F34"/>
    <w:rsid w:val="0024552B"/>
    <w:rsid w:val="00274FF5"/>
    <w:rsid w:val="00286F34"/>
    <w:rsid w:val="002A6D34"/>
    <w:rsid w:val="002C0F29"/>
    <w:rsid w:val="00301870"/>
    <w:rsid w:val="00311452"/>
    <w:rsid w:val="00343F37"/>
    <w:rsid w:val="00360DAD"/>
    <w:rsid w:val="0037216D"/>
    <w:rsid w:val="003866B4"/>
    <w:rsid w:val="003A196B"/>
    <w:rsid w:val="003A389C"/>
    <w:rsid w:val="003D0627"/>
    <w:rsid w:val="0042577B"/>
    <w:rsid w:val="00430B97"/>
    <w:rsid w:val="004738CD"/>
    <w:rsid w:val="004900F6"/>
    <w:rsid w:val="004A741B"/>
    <w:rsid w:val="004B16CC"/>
    <w:rsid w:val="004B1AD2"/>
    <w:rsid w:val="004E758F"/>
    <w:rsid w:val="004F5D47"/>
    <w:rsid w:val="005115D8"/>
    <w:rsid w:val="00531959"/>
    <w:rsid w:val="00546162"/>
    <w:rsid w:val="00570E92"/>
    <w:rsid w:val="00585E56"/>
    <w:rsid w:val="005B1CBF"/>
    <w:rsid w:val="005B2CBC"/>
    <w:rsid w:val="005C2E0D"/>
    <w:rsid w:val="005C5A07"/>
    <w:rsid w:val="005C79CC"/>
    <w:rsid w:val="005E00C2"/>
    <w:rsid w:val="00601591"/>
    <w:rsid w:val="006072EE"/>
    <w:rsid w:val="006557B5"/>
    <w:rsid w:val="00664B7F"/>
    <w:rsid w:val="00673441"/>
    <w:rsid w:val="00676322"/>
    <w:rsid w:val="006A50D5"/>
    <w:rsid w:val="006B248A"/>
    <w:rsid w:val="006B501B"/>
    <w:rsid w:val="006B5D5B"/>
    <w:rsid w:val="006C2CC8"/>
    <w:rsid w:val="006D464D"/>
    <w:rsid w:val="006F5A50"/>
    <w:rsid w:val="006F74DB"/>
    <w:rsid w:val="007277E1"/>
    <w:rsid w:val="0073788B"/>
    <w:rsid w:val="00767219"/>
    <w:rsid w:val="00771FD7"/>
    <w:rsid w:val="00794722"/>
    <w:rsid w:val="007A3C13"/>
    <w:rsid w:val="007D56CF"/>
    <w:rsid w:val="007E79F7"/>
    <w:rsid w:val="007F1F57"/>
    <w:rsid w:val="007F7FAA"/>
    <w:rsid w:val="00837DA2"/>
    <w:rsid w:val="00871E82"/>
    <w:rsid w:val="008732B6"/>
    <w:rsid w:val="0089523B"/>
    <w:rsid w:val="008D4E65"/>
    <w:rsid w:val="008D672D"/>
    <w:rsid w:val="008E31F3"/>
    <w:rsid w:val="008F0905"/>
    <w:rsid w:val="008F11E4"/>
    <w:rsid w:val="00902CA6"/>
    <w:rsid w:val="0091257E"/>
    <w:rsid w:val="00932F22"/>
    <w:rsid w:val="009476A5"/>
    <w:rsid w:val="00962A76"/>
    <w:rsid w:val="00976CD6"/>
    <w:rsid w:val="009A3DC9"/>
    <w:rsid w:val="009A5627"/>
    <w:rsid w:val="009C2C7C"/>
    <w:rsid w:val="009D4C93"/>
    <w:rsid w:val="009E306D"/>
    <w:rsid w:val="009E6B59"/>
    <w:rsid w:val="00A06E08"/>
    <w:rsid w:val="00A24FEB"/>
    <w:rsid w:val="00A42ECD"/>
    <w:rsid w:val="00A446E7"/>
    <w:rsid w:val="00A46995"/>
    <w:rsid w:val="00A772AF"/>
    <w:rsid w:val="00A8090D"/>
    <w:rsid w:val="00AC4D7E"/>
    <w:rsid w:val="00AD00B7"/>
    <w:rsid w:val="00B042F1"/>
    <w:rsid w:val="00B07150"/>
    <w:rsid w:val="00B12F85"/>
    <w:rsid w:val="00B22C4A"/>
    <w:rsid w:val="00B43CBE"/>
    <w:rsid w:val="00B508FF"/>
    <w:rsid w:val="00B52A06"/>
    <w:rsid w:val="00B77A61"/>
    <w:rsid w:val="00BB4C76"/>
    <w:rsid w:val="00BC6D64"/>
    <w:rsid w:val="00BD398A"/>
    <w:rsid w:val="00BD6FBC"/>
    <w:rsid w:val="00BE50F1"/>
    <w:rsid w:val="00BE7FFC"/>
    <w:rsid w:val="00BF0078"/>
    <w:rsid w:val="00BF59FF"/>
    <w:rsid w:val="00BF791E"/>
    <w:rsid w:val="00C010E0"/>
    <w:rsid w:val="00C02E15"/>
    <w:rsid w:val="00C17ED3"/>
    <w:rsid w:val="00C55940"/>
    <w:rsid w:val="00C72BEA"/>
    <w:rsid w:val="00C746C6"/>
    <w:rsid w:val="00C77C98"/>
    <w:rsid w:val="00C951F7"/>
    <w:rsid w:val="00CA2152"/>
    <w:rsid w:val="00CB1EC7"/>
    <w:rsid w:val="00CB62BF"/>
    <w:rsid w:val="00CC778D"/>
    <w:rsid w:val="00CE5974"/>
    <w:rsid w:val="00D240CE"/>
    <w:rsid w:val="00D24BFC"/>
    <w:rsid w:val="00D57117"/>
    <w:rsid w:val="00D57DF9"/>
    <w:rsid w:val="00D57EA9"/>
    <w:rsid w:val="00D73025"/>
    <w:rsid w:val="00D73A10"/>
    <w:rsid w:val="00D75810"/>
    <w:rsid w:val="00D97025"/>
    <w:rsid w:val="00DA1198"/>
    <w:rsid w:val="00DB26D9"/>
    <w:rsid w:val="00DC5559"/>
    <w:rsid w:val="00DC771C"/>
    <w:rsid w:val="00DE3647"/>
    <w:rsid w:val="00E034DE"/>
    <w:rsid w:val="00E16158"/>
    <w:rsid w:val="00E270B5"/>
    <w:rsid w:val="00E41652"/>
    <w:rsid w:val="00E77CA4"/>
    <w:rsid w:val="00E801C6"/>
    <w:rsid w:val="00EE04ED"/>
    <w:rsid w:val="00EE0524"/>
    <w:rsid w:val="00EF3447"/>
    <w:rsid w:val="00F10FD4"/>
    <w:rsid w:val="00F20201"/>
    <w:rsid w:val="00F420E1"/>
    <w:rsid w:val="00F46336"/>
    <w:rsid w:val="00F51533"/>
    <w:rsid w:val="00F6072A"/>
    <w:rsid w:val="00F64163"/>
    <w:rsid w:val="00F70448"/>
    <w:rsid w:val="00F85E9B"/>
    <w:rsid w:val="00F903C2"/>
    <w:rsid w:val="00FE3A70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67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C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10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1613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1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31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1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310"/>
    <w:rPr>
      <w:lang w:val="en-US"/>
    </w:rPr>
  </w:style>
  <w:style w:type="paragraph" w:styleId="ListParagraph">
    <w:name w:val="List Paragraph"/>
    <w:basedOn w:val="Normal"/>
    <w:uiPriority w:val="34"/>
    <w:qFormat/>
    <w:rsid w:val="00932F22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67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24C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D00B7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D00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D00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D00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67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C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10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1613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1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31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1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310"/>
    <w:rPr>
      <w:lang w:val="en-US"/>
    </w:rPr>
  </w:style>
  <w:style w:type="paragraph" w:styleId="ListParagraph">
    <w:name w:val="List Paragraph"/>
    <w:basedOn w:val="Normal"/>
    <w:uiPriority w:val="34"/>
    <w:qFormat/>
    <w:rsid w:val="00932F22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67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24C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D00B7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D00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D00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D0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56F01-B5A7-47A2-8A2C-32A79609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5590</Words>
  <Characters>31869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Islami</dc:creator>
  <cp:lastModifiedBy>Ilir Islami</cp:lastModifiedBy>
  <cp:revision>4</cp:revision>
  <cp:lastPrinted>2018-01-23T10:41:00Z</cp:lastPrinted>
  <dcterms:created xsi:type="dcterms:W3CDTF">2018-01-22T12:21:00Z</dcterms:created>
  <dcterms:modified xsi:type="dcterms:W3CDTF">2018-01-23T10:41:00Z</dcterms:modified>
</cp:coreProperties>
</file>